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C9" w:rsidRPr="00E037C9" w:rsidRDefault="00E037C9" w:rsidP="00EE6D2A">
      <w:pPr>
        <w:pStyle w:val="Sinespaciado"/>
        <w:ind w:left="-709"/>
        <w:rPr>
          <w:b/>
          <w:sz w:val="24"/>
        </w:rPr>
      </w:pPr>
      <w:r w:rsidRPr="00E037C9">
        <w:rPr>
          <w:b/>
          <w:sz w:val="24"/>
        </w:rPr>
        <w:t>¿Por qué crees que los videojuegos educativos tienen potencial en la enseñanza?</w:t>
      </w:r>
    </w:p>
    <w:p w:rsidR="00E037C9" w:rsidRDefault="000D293C" w:rsidP="00EE6D2A">
      <w:pPr>
        <w:pStyle w:val="Sinespaciado"/>
        <w:numPr>
          <w:ilvl w:val="0"/>
          <w:numId w:val="1"/>
        </w:numPr>
        <w:ind w:left="0"/>
      </w:pPr>
      <w:r>
        <w:t>Los</w:t>
      </w:r>
      <w:r w:rsidR="00E037C9">
        <w:t xml:space="preserve"> </w:t>
      </w:r>
      <w:r>
        <w:t xml:space="preserve">videojuegos </w:t>
      </w:r>
      <w:r w:rsidR="00E037C9">
        <w:t xml:space="preserve"> en exceso son negativos.</w:t>
      </w:r>
    </w:p>
    <w:p w:rsidR="00E037C9" w:rsidRDefault="00E037C9" w:rsidP="00EE6D2A">
      <w:pPr>
        <w:pStyle w:val="Sinespaciado"/>
        <w:numPr>
          <w:ilvl w:val="0"/>
          <w:numId w:val="1"/>
        </w:numPr>
        <w:ind w:left="0"/>
      </w:pPr>
      <w:r>
        <w:t>Benefician habilidades, cognitivas, espaciales y motoras.</w:t>
      </w:r>
    </w:p>
    <w:p w:rsidR="00E037C9" w:rsidRDefault="00E037C9" w:rsidP="00EE6D2A">
      <w:pPr>
        <w:pStyle w:val="Sinespaciado"/>
        <w:numPr>
          <w:ilvl w:val="0"/>
          <w:numId w:val="1"/>
        </w:numPr>
        <w:ind w:left="0"/>
      </w:pPr>
      <w:r>
        <w:t>Competencias en programación y habilidades tecnológicas de los alumnos.</w:t>
      </w:r>
    </w:p>
    <w:p w:rsidR="0038270A" w:rsidRDefault="00E037C9" w:rsidP="00EE6D2A">
      <w:pPr>
        <w:pStyle w:val="Sinespaciado"/>
        <w:numPr>
          <w:ilvl w:val="0"/>
          <w:numId w:val="1"/>
        </w:numPr>
        <w:ind w:left="0" w:right="-658"/>
      </w:pPr>
      <w:r>
        <w:t>Aumenta la creatividad</w:t>
      </w:r>
      <w:r w:rsidR="0038270A">
        <w:t xml:space="preserve">, la colaboración, y </w:t>
      </w:r>
      <w:proofErr w:type="gramStart"/>
      <w:r w:rsidR="0038270A">
        <w:t>el</w:t>
      </w:r>
      <w:proofErr w:type="gramEnd"/>
      <w:r w:rsidR="0038270A">
        <w:t xml:space="preserve"> autoestima.</w:t>
      </w:r>
    </w:p>
    <w:p w:rsidR="00FB79C5" w:rsidRDefault="00FB79C5" w:rsidP="00FB79C5">
      <w:pPr>
        <w:pStyle w:val="Sinespaciado"/>
        <w:ind w:left="720"/>
      </w:pPr>
    </w:p>
    <w:p w:rsidR="0038270A" w:rsidRDefault="0038270A" w:rsidP="00EE6D2A">
      <w:pPr>
        <w:pStyle w:val="Sinespaciado"/>
        <w:ind w:left="-709"/>
        <w:rPr>
          <w:b/>
          <w:sz w:val="24"/>
        </w:rPr>
      </w:pPr>
      <w:r w:rsidRPr="0038270A">
        <w:rPr>
          <w:b/>
          <w:sz w:val="24"/>
        </w:rPr>
        <w:t>Videojuego Educativo</w:t>
      </w:r>
      <w:r>
        <w:rPr>
          <w:b/>
          <w:sz w:val="24"/>
        </w:rPr>
        <w:t>:</w:t>
      </w:r>
    </w:p>
    <w:p w:rsidR="00FB79C5" w:rsidRDefault="00FB79C5" w:rsidP="0038270A">
      <w:pPr>
        <w:pStyle w:val="Sinespaciado"/>
        <w:rPr>
          <w:b/>
          <w:sz w:val="24"/>
        </w:rPr>
      </w:pPr>
    </w:p>
    <w:p w:rsidR="00FD46D3" w:rsidRDefault="00FB79C5" w:rsidP="00FB79C5">
      <w:pPr>
        <w:pStyle w:val="Sinespaciado"/>
        <w:jc w:val="center"/>
        <w:rPr>
          <w:b/>
          <w:sz w:val="24"/>
        </w:rPr>
      </w:pPr>
      <w:r>
        <w:rPr>
          <w:b/>
          <w:noProof/>
          <w:sz w:val="24"/>
          <w:lang w:eastAsia="es-ES"/>
        </w:rPr>
        <w:drawing>
          <wp:inline distT="0" distB="0" distL="0" distR="0">
            <wp:extent cx="2947434" cy="2211439"/>
            <wp:effectExtent l="19050" t="0" r="531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296" cy="221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6D3" w:rsidRDefault="00FD46D3" w:rsidP="0038270A">
      <w:pPr>
        <w:pStyle w:val="Sinespaciado"/>
        <w:rPr>
          <w:b/>
          <w:sz w:val="24"/>
        </w:rPr>
      </w:pPr>
    </w:p>
    <w:p w:rsidR="00FD46D3" w:rsidRDefault="00FD46D3" w:rsidP="007C6719">
      <w:pPr>
        <w:pStyle w:val="Sinespaciado"/>
        <w:ind w:left="-709" w:right="-658"/>
        <w:rPr>
          <w:b/>
          <w:sz w:val="24"/>
        </w:rPr>
      </w:pPr>
    </w:p>
    <w:p w:rsidR="00FD46D3" w:rsidRDefault="005E4D6B" w:rsidP="007C6719">
      <w:pPr>
        <w:pStyle w:val="Sinespaciado"/>
        <w:ind w:left="-709" w:right="-658"/>
      </w:pPr>
      <w:r>
        <w:rPr>
          <w:b/>
          <w:sz w:val="24"/>
        </w:rPr>
        <w:t>Exposición de vide</w:t>
      </w:r>
      <w:r w:rsidR="00FB79C5" w:rsidRPr="00FB79C5">
        <w:rPr>
          <w:b/>
          <w:sz w:val="24"/>
        </w:rPr>
        <w:t>ojuegos.</w:t>
      </w:r>
      <w:r w:rsidR="00FB79C5" w:rsidRPr="00FB79C5">
        <w:rPr>
          <w:b/>
          <w:sz w:val="24"/>
        </w:rPr>
        <w:br/>
        <w:t>De forma grupal elaborar un instrumento para evaluar los diferentes juegos educativos</w:t>
      </w:r>
      <w:proofErr w:type="gramStart"/>
      <w:r w:rsidR="00FB79C5" w:rsidRPr="00FB79C5">
        <w:rPr>
          <w:b/>
          <w:sz w:val="24"/>
        </w:rPr>
        <w:t>.</w:t>
      </w:r>
      <w:r w:rsidR="00FB79C5" w:rsidRPr="00FB79C5">
        <w:t>.</w:t>
      </w:r>
      <w:proofErr w:type="gramEnd"/>
    </w:p>
    <w:p w:rsidR="005E4D6B" w:rsidRPr="005E4D6B" w:rsidRDefault="005E4D6B" w:rsidP="005E4D6B">
      <w:pPr>
        <w:pStyle w:val="Sinespaciado"/>
        <w:rPr>
          <w:b/>
          <w:sz w:val="24"/>
        </w:rPr>
      </w:pPr>
    </w:p>
    <w:tbl>
      <w:tblPr>
        <w:tblStyle w:val="Tablaconcuadrcula"/>
        <w:tblW w:w="10207" w:type="dxa"/>
        <w:jc w:val="center"/>
        <w:tblInd w:w="-287" w:type="dxa"/>
        <w:tblLayout w:type="fixed"/>
        <w:tblLook w:val="04A0"/>
      </w:tblPr>
      <w:tblGrid>
        <w:gridCol w:w="1277"/>
        <w:gridCol w:w="1619"/>
        <w:gridCol w:w="1332"/>
        <w:gridCol w:w="2794"/>
        <w:gridCol w:w="1472"/>
        <w:gridCol w:w="1713"/>
      </w:tblGrid>
      <w:tr w:rsidR="00C8172F" w:rsidTr="00E10165">
        <w:trPr>
          <w:cantSplit/>
          <w:trHeight w:val="764"/>
          <w:jc w:val="center"/>
        </w:trPr>
        <w:tc>
          <w:tcPr>
            <w:tcW w:w="1277" w:type="dxa"/>
            <w:vAlign w:val="center"/>
          </w:tcPr>
          <w:p w:rsidR="00FB79C5" w:rsidRPr="00FB79C5" w:rsidRDefault="00FB79C5" w:rsidP="00FB79C5">
            <w:pPr>
              <w:pStyle w:val="Sinespaciado"/>
              <w:jc w:val="center"/>
              <w:rPr>
                <w:b/>
              </w:rPr>
            </w:pPr>
            <w:r w:rsidRPr="00FB79C5">
              <w:rPr>
                <w:b/>
              </w:rPr>
              <w:t>Nombre del Videojuego</w:t>
            </w:r>
          </w:p>
        </w:tc>
        <w:tc>
          <w:tcPr>
            <w:tcW w:w="1619" w:type="dxa"/>
            <w:vAlign w:val="center"/>
          </w:tcPr>
          <w:p w:rsidR="00FB79C5" w:rsidRPr="00FB79C5" w:rsidRDefault="00FB79C5" w:rsidP="00FB79C5">
            <w:pPr>
              <w:pStyle w:val="Sinespaciado"/>
              <w:jc w:val="center"/>
              <w:rPr>
                <w:b/>
              </w:rPr>
            </w:pPr>
            <w:r w:rsidRPr="00FB79C5">
              <w:rPr>
                <w:b/>
              </w:rPr>
              <w:t>Campo competencia</w:t>
            </w:r>
          </w:p>
        </w:tc>
        <w:tc>
          <w:tcPr>
            <w:tcW w:w="1332" w:type="dxa"/>
            <w:vAlign w:val="center"/>
          </w:tcPr>
          <w:p w:rsidR="00FB79C5" w:rsidRPr="00FB79C5" w:rsidRDefault="00FB79C5" w:rsidP="00FB79C5">
            <w:pPr>
              <w:pStyle w:val="Sinespaciado"/>
              <w:jc w:val="center"/>
              <w:rPr>
                <w:b/>
              </w:rPr>
            </w:pPr>
            <w:r w:rsidRPr="00FB79C5">
              <w:rPr>
                <w:b/>
              </w:rPr>
              <w:t xml:space="preserve">Aspectos Técnicos (Internet, Cartuchos, </w:t>
            </w:r>
            <w:proofErr w:type="spellStart"/>
            <w:r w:rsidRPr="00FB79C5">
              <w:rPr>
                <w:b/>
              </w:rPr>
              <w:t>etc</w:t>
            </w:r>
            <w:proofErr w:type="spellEnd"/>
            <w:r w:rsidRPr="00FB79C5">
              <w:rPr>
                <w:b/>
              </w:rPr>
              <w:t>…)</w:t>
            </w:r>
          </w:p>
        </w:tc>
        <w:tc>
          <w:tcPr>
            <w:tcW w:w="2794" w:type="dxa"/>
            <w:vAlign w:val="center"/>
          </w:tcPr>
          <w:p w:rsidR="00FB79C5" w:rsidRPr="00FB79C5" w:rsidRDefault="00FB79C5" w:rsidP="00FB79C5">
            <w:pPr>
              <w:pStyle w:val="Sinespaciado"/>
              <w:jc w:val="center"/>
              <w:rPr>
                <w:b/>
              </w:rPr>
            </w:pPr>
            <w:r w:rsidRPr="00FB79C5">
              <w:rPr>
                <w:b/>
              </w:rPr>
              <w:t>URL</w:t>
            </w:r>
          </w:p>
        </w:tc>
        <w:tc>
          <w:tcPr>
            <w:tcW w:w="1472" w:type="dxa"/>
            <w:vAlign w:val="center"/>
          </w:tcPr>
          <w:p w:rsidR="00FB79C5" w:rsidRPr="00FB79C5" w:rsidRDefault="00FB79C5" w:rsidP="00FB79C5">
            <w:pPr>
              <w:pStyle w:val="Sinespaciado"/>
              <w:jc w:val="center"/>
              <w:rPr>
                <w:b/>
              </w:rPr>
            </w:pPr>
            <w:r w:rsidRPr="00FB79C5">
              <w:rPr>
                <w:b/>
              </w:rPr>
              <w:t>Curva de aprendizaje</w:t>
            </w:r>
          </w:p>
        </w:tc>
        <w:tc>
          <w:tcPr>
            <w:tcW w:w="1713" w:type="dxa"/>
            <w:vAlign w:val="center"/>
          </w:tcPr>
          <w:p w:rsidR="00FB79C5" w:rsidRPr="00FB79C5" w:rsidRDefault="00FB79C5" w:rsidP="00FB79C5">
            <w:pPr>
              <w:pStyle w:val="Sinespaciado"/>
              <w:jc w:val="center"/>
              <w:rPr>
                <w:b/>
              </w:rPr>
            </w:pPr>
            <w:r w:rsidRPr="00FB79C5">
              <w:rPr>
                <w:b/>
              </w:rPr>
              <w:t>Efectividad</w:t>
            </w:r>
          </w:p>
        </w:tc>
      </w:tr>
      <w:tr w:rsidR="00C8172F" w:rsidTr="00E10165">
        <w:trPr>
          <w:trHeight w:val="2500"/>
          <w:jc w:val="center"/>
        </w:trPr>
        <w:tc>
          <w:tcPr>
            <w:tcW w:w="1277" w:type="dxa"/>
            <w:vAlign w:val="center"/>
          </w:tcPr>
          <w:p w:rsidR="00FB79C5" w:rsidRDefault="00FB79C5" w:rsidP="00FB79C5">
            <w:pPr>
              <w:pStyle w:val="Sinespaciado"/>
            </w:pPr>
            <w:r>
              <w:t>Pipo Aventuras: Aprende a Leer con pipo. De 3 a 6 años.</w:t>
            </w:r>
          </w:p>
        </w:tc>
        <w:tc>
          <w:tcPr>
            <w:tcW w:w="1619" w:type="dxa"/>
            <w:vAlign w:val="center"/>
          </w:tcPr>
          <w:p w:rsidR="00FB79C5" w:rsidRDefault="00FB79C5" w:rsidP="00FB79C5">
            <w:pPr>
              <w:pStyle w:val="Sinespaciado"/>
            </w:pPr>
            <w:r>
              <w:t>La Lectoescritura</w:t>
            </w:r>
          </w:p>
          <w:p w:rsidR="00E10165" w:rsidRDefault="00E10165" w:rsidP="00FB79C5">
            <w:pPr>
              <w:pStyle w:val="Sinespaciado"/>
            </w:pPr>
            <w:r>
              <w:t>Español</w:t>
            </w:r>
          </w:p>
        </w:tc>
        <w:tc>
          <w:tcPr>
            <w:tcW w:w="1332" w:type="dxa"/>
            <w:vAlign w:val="center"/>
          </w:tcPr>
          <w:p w:rsidR="005E4D6B" w:rsidRDefault="005E4D6B" w:rsidP="00FB79C5">
            <w:pPr>
              <w:pStyle w:val="Sinespaciado"/>
            </w:pPr>
          </w:p>
          <w:p w:rsidR="00FB79C5" w:rsidRDefault="005E4D6B" w:rsidP="00FB79C5">
            <w:pPr>
              <w:pStyle w:val="Sinespaciado"/>
            </w:pPr>
            <w:r>
              <w:t xml:space="preserve">Se puede encontrar de forma básica en Internet (no cubre con todas las actividades). Se encuentra en </w:t>
            </w:r>
            <w:proofErr w:type="spellStart"/>
            <w:r>
              <w:t>cd´s</w:t>
            </w:r>
            <w:proofErr w:type="spellEnd"/>
            <w:r>
              <w:t xml:space="preserve"> de esta forma viene más completo y con más actividades.</w:t>
            </w:r>
          </w:p>
          <w:p w:rsidR="005E4D6B" w:rsidRDefault="005E4D6B" w:rsidP="00FB79C5">
            <w:pPr>
              <w:pStyle w:val="Sinespaciado"/>
            </w:pPr>
          </w:p>
        </w:tc>
        <w:tc>
          <w:tcPr>
            <w:tcW w:w="2794" w:type="dxa"/>
            <w:vAlign w:val="center"/>
          </w:tcPr>
          <w:p w:rsidR="00FB79C5" w:rsidRDefault="005E4D6B" w:rsidP="00FB79C5">
            <w:pPr>
              <w:pStyle w:val="Sinespaciado"/>
            </w:pPr>
            <w:hyperlink r:id="rId6" w:history="1">
              <w:r>
                <w:rPr>
                  <w:rStyle w:val="Hipervnculo"/>
                </w:rPr>
                <w:t>http://www.pipoclub.com/</w:t>
              </w:r>
            </w:hyperlink>
          </w:p>
        </w:tc>
        <w:tc>
          <w:tcPr>
            <w:tcW w:w="1472" w:type="dxa"/>
            <w:vAlign w:val="center"/>
          </w:tcPr>
          <w:p w:rsidR="00FB79C5" w:rsidRDefault="005E4D6B" w:rsidP="00FB79C5">
            <w:pPr>
              <w:pStyle w:val="Sinespaciado"/>
            </w:pPr>
            <w:r>
              <w:t>La ayuda con la que cuenta este juego es que el mismo personaje del juego te explica antes de empezar con la actividad lo que tienes que hacer.</w:t>
            </w:r>
          </w:p>
        </w:tc>
        <w:tc>
          <w:tcPr>
            <w:tcW w:w="1713" w:type="dxa"/>
            <w:vAlign w:val="center"/>
          </w:tcPr>
          <w:p w:rsidR="00FB79C5" w:rsidRDefault="00C8172F" w:rsidP="00FB79C5">
            <w:pPr>
              <w:pStyle w:val="Sinespaciado"/>
            </w:pPr>
            <w:r>
              <w:t>Este juego ayuda al niño a comprender de una manera divertida y entretenida lo que son las letras, posteriormente las silabas, hasta culminar con las palabras ya en forma.</w:t>
            </w:r>
          </w:p>
        </w:tc>
      </w:tr>
    </w:tbl>
    <w:p w:rsidR="0038270A" w:rsidRPr="0038270A" w:rsidRDefault="0038270A" w:rsidP="0038270A">
      <w:pPr>
        <w:pStyle w:val="Sinespaciado"/>
      </w:pPr>
    </w:p>
    <w:sectPr w:rsidR="0038270A" w:rsidRPr="0038270A" w:rsidSect="00C8172F">
      <w:pgSz w:w="12242" w:h="15842" w:code="1"/>
      <w:pgMar w:top="709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5A14"/>
    <w:multiLevelType w:val="hybridMultilevel"/>
    <w:tmpl w:val="31D4E38E"/>
    <w:lvl w:ilvl="0" w:tplc="79A882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D293C"/>
    <w:rsid w:val="000D293C"/>
    <w:rsid w:val="0038270A"/>
    <w:rsid w:val="005E4D6B"/>
    <w:rsid w:val="00791DC9"/>
    <w:rsid w:val="007C6719"/>
    <w:rsid w:val="00C8172F"/>
    <w:rsid w:val="00DE088C"/>
    <w:rsid w:val="00E037C9"/>
    <w:rsid w:val="00E10165"/>
    <w:rsid w:val="00EE6D2A"/>
    <w:rsid w:val="00FB79C5"/>
    <w:rsid w:val="00FD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37C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D4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C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E4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poclub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2013-04-09T17:09:00Z</dcterms:created>
  <dcterms:modified xsi:type="dcterms:W3CDTF">2013-04-09T17:58:00Z</dcterms:modified>
</cp:coreProperties>
</file>