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029" w:rsidRPr="00394029" w:rsidRDefault="00394029" w:rsidP="00394029">
      <w:pPr>
        <w:jc w:val="center"/>
        <w:rPr>
          <w:sz w:val="28"/>
        </w:rPr>
      </w:pPr>
      <w:r w:rsidRPr="00394029">
        <w:rPr>
          <w:sz w:val="28"/>
        </w:rPr>
        <w:drawing>
          <wp:anchor distT="0" distB="0" distL="114300" distR="114300" simplePos="0" relativeHeight="251659264" behindDoc="0" locked="0" layoutInCell="1" allowOverlap="1" wp14:anchorId="6A27B23A" wp14:editId="0FED453F">
            <wp:simplePos x="1076325" y="895350"/>
            <wp:positionH relativeFrom="margin">
              <wp:align>left</wp:align>
            </wp:positionH>
            <wp:positionV relativeFrom="margin">
              <wp:align>top</wp:align>
            </wp:positionV>
            <wp:extent cx="1857375" cy="1381125"/>
            <wp:effectExtent l="0" t="0" r="0" b="9525"/>
            <wp:wrapSquare wrapText="bothSides"/>
            <wp:docPr id="1" name="irc_mi" descr="http://web.sec-coahuila.gob.mx/cidies/BIBLIOTECA_DIGITAL%5CDB%5CL%5CLOGOENEP.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eb.sec-coahuila.gob.mx/cidies/BIBLIOTECA_DIGITAL%5CDB%5CL%5CLOGOENEP.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r w:rsidRPr="00394029">
        <w:rPr>
          <w:sz w:val="28"/>
        </w:rPr>
        <w:t>ESCUELA NORMAL DE EDUCACIÓN PREESCOLAR</w:t>
      </w:r>
    </w:p>
    <w:p w:rsidR="00394029" w:rsidRPr="00394029" w:rsidRDefault="00394029" w:rsidP="00394029">
      <w:pPr>
        <w:jc w:val="center"/>
        <w:rPr>
          <w:sz w:val="28"/>
        </w:rPr>
      </w:pPr>
      <w:r w:rsidRPr="00394029">
        <w:rPr>
          <w:b/>
          <w:sz w:val="28"/>
        </w:rPr>
        <w:t>LAS TIC’S EN EDUCACIÓN</w:t>
      </w:r>
    </w:p>
    <w:p w:rsidR="00394029" w:rsidRPr="00394029" w:rsidRDefault="00394029" w:rsidP="00394029">
      <w:pPr>
        <w:jc w:val="center"/>
        <w:rPr>
          <w:sz w:val="28"/>
        </w:rPr>
      </w:pPr>
      <w:r w:rsidRPr="00394029">
        <w:rPr>
          <w:b/>
          <w:sz w:val="28"/>
        </w:rPr>
        <w:t>PROF</w:t>
      </w:r>
      <w:r w:rsidRPr="00394029">
        <w:rPr>
          <w:sz w:val="28"/>
        </w:rPr>
        <w:t>. Graciano Montoya Hoyos</w:t>
      </w:r>
    </w:p>
    <w:p w:rsidR="00394029" w:rsidRPr="00394029" w:rsidRDefault="00394029" w:rsidP="00394029">
      <w:pPr>
        <w:jc w:val="center"/>
        <w:rPr>
          <w:b/>
          <w:sz w:val="28"/>
        </w:rPr>
      </w:pPr>
      <w:r w:rsidRPr="00394029">
        <w:rPr>
          <w:b/>
          <w:sz w:val="28"/>
        </w:rPr>
        <w:t>Claudia Valeria Tovias García</w:t>
      </w:r>
    </w:p>
    <w:p w:rsidR="00394029" w:rsidRDefault="00394029" w:rsidP="00394029">
      <w:pPr>
        <w:jc w:val="center"/>
        <w:rPr>
          <w:b/>
          <w:sz w:val="28"/>
        </w:rPr>
      </w:pPr>
      <w:r>
        <w:rPr>
          <w:b/>
          <w:sz w:val="28"/>
        </w:rPr>
        <w:t xml:space="preserve">                                    </w:t>
      </w:r>
      <w:r w:rsidRPr="00394029">
        <w:rPr>
          <w:b/>
          <w:sz w:val="28"/>
        </w:rPr>
        <w:t>1° ‘‘C’’</w:t>
      </w:r>
    </w:p>
    <w:p w:rsidR="00394029" w:rsidRPr="00394029" w:rsidRDefault="00394029" w:rsidP="00394029">
      <w:pPr>
        <w:jc w:val="center"/>
        <w:rPr>
          <w:b/>
          <w:color w:val="1F497D" w:themeColor="text2"/>
          <w:sz w:val="32"/>
          <w:u w:val="single"/>
        </w:rPr>
      </w:pPr>
      <w:r w:rsidRPr="00394029">
        <w:rPr>
          <w:b/>
          <w:color w:val="1F497D" w:themeColor="text2"/>
          <w:sz w:val="32"/>
          <w:u w:val="single"/>
        </w:rPr>
        <w:t>Elementos de Intel Educar: Enfoque de aprendizajes por proyectos.</w:t>
      </w:r>
    </w:p>
    <w:p w:rsidR="00394029" w:rsidRDefault="00394029" w:rsidP="00394029"/>
    <w:p w:rsidR="00394029" w:rsidRDefault="00394029" w:rsidP="00394029">
      <w:pPr>
        <w:rPr>
          <w:rFonts w:ascii="Century Gothic" w:hAnsi="Century Gothic"/>
          <w:sz w:val="24"/>
        </w:rPr>
      </w:pPr>
      <w:r w:rsidRPr="00394029">
        <w:rPr>
          <w:rFonts w:ascii="Century Gothic" w:hAnsi="Century Gothic"/>
          <w:sz w:val="24"/>
        </w:rPr>
        <w:t>Curso de Enfoque de aprendizaje basado en proyectos</w:t>
      </w:r>
      <w:r>
        <w:rPr>
          <w:rFonts w:ascii="Century Gothic" w:hAnsi="Century Gothic"/>
          <w:sz w:val="24"/>
        </w:rPr>
        <w:t>:</w:t>
      </w:r>
    </w:p>
    <w:p w:rsidR="00394029" w:rsidRDefault="00394029" w:rsidP="00394029">
      <w:pPr>
        <w:rPr>
          <w:rFonts w:ascii="Century Gothic" w:hAnsi="Century Gothic"/>
          <w:sz w:val="24"/>
        </w:rPr>
      </w:pPr>
      <w:r w:rsidRPr="00394029">
        <w:rPr>
          <w:rFonts w:ascii="Century Gothic" w:hAnsi="Century Gothic"/>
          <w:sz w:val="24"/>
        </w:rPr>
        <w:t xml:space="preserve"> Enfoque de aprendizaje basado en proyectos es el primer curso de una serie de Elementos de Intel® Educar. </w:t>
      </w:r>
    </w:p>
    <w:p w:rsidR="00394029" w:rsidRDefault="00394029" w:rsidP="00394029">
      <w:pPr>
        <w:rPr>
          <w:rFonts w:ascii="Century Gothic" w:hAnsi="Century Gothic"/>
          <w:sz w:val="24"/>
        </w:rPr>
      </w:pPr>
    </w:p>
    <w:p w:rsidR="001A5420" w:rsidRPr="001A5420" w:rsidRDefault="001A5420" w:rsidP="00394029">
      <w:pPr>
        <w:rPr>
          <w:rFonts w:ascii="Century Gothic" w:hAnsi="Century Gothic"/>
          <w:b/>
          <w:sz w:val="24"/>
        </w:rPr>
      </w:pPr>
      <w:r w:rsidRPr="001A5420">
        <w:rPr>
          <w:rFonts w:ascii="Century Gothic" w:hAnsi="Century Gothic"/>
          <w:b/>
          <w:sz w:val="24"/>
        </w:rPr>
        <w:t xml:space="preserve">El diseño de este curso incluye: </w:t>
      </w:r>
    </w:p>
    <w:p w:rsidR="001A5420" w:rsidRDefault="001A5420" w:rsidP="00394029">
      <w:pPr>
        <w:rPr>
          <w:rFonts w:ascii="Century Gothic" w:hAnsi="Century Gothic"/>
          <w:sz w:val="24"/>
        </w:rPr>
      </w:pPr>
      <w:r w:rsidRPr="001A5420">
        <w:rPr>
          <w:rFonts w:ascii="Century Gothic" w:hAnsi="Century Gothic"/>
          <w:sz w:val="24"/>
        </w:rPr>
        <w:t xml:space="preserve">- Tutoriales de aprendizaje virtual animados </w:t>
      </w:r>
    </w:p>
    <w:p w:rsidR="001A5420" w:rsidRDefault="001A5420" w:rsidP="00394029">
      <w:pPr>
        <w:rPr>
          <w:rFonts w:ascii="Century Gothic" w:hAnsi="Century Gothic"/>
          <w:sz w:val="24"/>
        </w:rPr>
      </w:pPr>
      <w:r w:rsidRPr="001A5420">
        <w:rPr>
          <w:rFonts w:ascii="Century Gothic" w:hAnsi="Century Gothic"/>
          <w:sz w:val="24"/>
        </w:rPr>
        <w:t xml:space="preserve">- Ejercicios interactivos de aprendizaje </w:t>
      </w:r>
    </w:p>
    <w:p w:rsidR="001A5420" w:rsidRDefault="001A5420" w:rsidP="00394029">
      <w:pPr>
        <w:rPr>
          <w:rFonts w:ascii="Century Gothic" w:hAnsi="Century Gothic"/>
          <w:sz w:val="24"/>
        </w:rPr>
      </w:pPr>
      <w:r w:rsidRPr="001A5420">
        <w:rPr>
          <w:rFonts w:ascii="Century Gothic" w:hAnsi="Century Gothic"/>
          <w:sz w:val="24"/>
        </w:rPr>
        <w:t>- Actividades fuera de línea para la aplicación de los conceptos</w:t>
      </w:r>
    </w:p>
    <w:p w:rsidR="001A5420" w:rsidRDefault="001A5420" w:rsidP="00394029">
      <w:pPr>
        <w:rPr>
          <w:rFonts w:ascii="Century Gothic" w:hAnsi="Century Gothic"/>
          <w:sz w:val="24"/>
        </w:rPr>
      </w:pPr>
      <w:r w:rsidRPr="001A5420">
        <w:rPr>
          <w:rFonts w:ascii="Century Gothic" w:hAnsi="Century Gothic"/>
          <w:sz w:val="24"/>
        </w:rPr>
        <w:t xml:space="preserve"> - Opciones para tomar el curso de manera autodidacta o </w:t>
      </w:r>
      <w:proofErr w:type="gramStart"/>
      <w:r w:rsidRPr="001A5420">
        <w:rPr>
          <w:rFonts w:ascii="Century Gothic" w:hAnsi="Century Gothic"/>
          <w:sz w:val="24"/>
        </w:rPr>
        <w:t>facilitado</w:t>
      </w:r>
      <w:proofErr w:type="gramEnd"/>
    </w:p>
    <w:p w:rsidR="001A5420" w:rsidRDefault="001A5420" w:rsidP="00394029">
      <w:pPr>
        <w:rPr>
          <w:rFonts w:ascii="Century Gothic" w:hAnsi="Century Gothic"/>
          <w:sz w:val="24"/>
        </w:rPr>
      </w:pPr>
      <w:r w:rsidRPr="001A5420">
        <w:rPr>
          <w:rFonts w:ascii="Century Gothic" w:hAnsi="Century Gothic"/>
          <w:sz w:val="24"/>
        </w:rPr>
        <w:t xml:space="preserve"> - Contenido amigable con el usuario ofreciendo una fácil introducción a los cursos en línea</w:t>
      </w:r>
    </w:p>
    <w:p w:rsidR="001A5420" w:rsidRDefault="001A5420" w:rsidP="00394029">
      <w:pPr>
        <w:rPr>
          <w:rFonts w:ascii="Century Gothic" w:hAnsi="Century Gothic"/>
          <w:sz w:val="24"/>
        </w:rPr>
      </w:pPr>
      <w:r w:rsidRPr="001A5420">
        <w:rPr>
          <w:rFonts w:ascii="Century Gothic" w:hAnsi="Century Gothic"/>
          <w:sz w:val="24"/>
        </w:rPr>
        <w:t xml:space="preserve"> - Se sustenta en autores reconocidos especialistas en el tema</w:t>
      </w:r>
    </w:p>
    <w:p w:rsidR="001A5420" w:rsidRDefault="001A5420" w:rsidP="00394029">
      <w:pPr>
        <w:rPr>
          <w:rFonts w:ascii="Century Gothic" w:hAnsi="Century Gothic"/>
          <w:sz w:val="24"/>
        </w:rPr>
      </w:pPr>
      <w:r w:rsidRPr="001A5420">
        <w:rPr>
          <w:rFonts w:ascii="Century Gothic" w:hAnsi="Century Gothic"/>
          <w:sz w:val="24"/>
        </w:rPr>
        <w:t xml:space="preserve"> - Además que es un curso corto, justo para docentes/estudiantes como usted que disponen de poco tiempo para llevar a cabo cursos de desarrollo profesional.</w:t>
      </w:r>
    </w:p>
    <w:p w:rsidR="001A5420" w:rsidRDefault="001A5420" w:rsidP="00394029">
      <w:pPr>
        <w:rPr>
          <w:rFonts w:ascii="Century Gothic" w:hAnsi="Century Gothic"/>
          <w:b/>
          <w:sz w:val="24"/>
        </w:rPr>
      </w:pPr>
    </w:p>
    <w:p w:rsidR="001A5420" w:rsidRDefault="001A5420" w:rsidP="00394029">
      <w:pPr>
        <w:rPr>
          <w:rFonts w:ascii="Century Gothic" w:hAnsi="Century Gothic"/>
          <w:b/>
          <w:sz w:val="24"/>
        </w:rPr>
      </w:pPr>
    </w:p>
    <w:p w:rsidR="001A5420" w:rsidRDefault="001A5420" w:rsidP="00394029">
      <w:pPr>
        <w:rPr>
          <w:rFonts w:ascii="Century Gothic" w:hAnsi="Century Gothic"/>
          <w:sz w:val="24"/>
        </w:rPr>
      </w:pPr>
      <w:bookmarkStart w:id="0" w:name="_GoBack"/>
      <w:bookmarkEnd w:id="0"/>
      <w:r w:rsidRPr="001A5420">
        <w:rPr>
          <w:rFonts w:ascii="Century Gothic" w:hAnsi="Century Gothic"/>
          <w:b/>
          <w:sz w:val="24"/>
        </w:rPr>
        <w:lastRenderedPageBreak/>
        <w:t>Plan de acción</w:t>
      </w:r>
      <w:r w:rsidRPr="001A5420">
        <w:rPr>
          <w:rFonts w:ascii="Century Gothic" w:hAnsi="Century Gothic"/>
          <w:sz w:val="24"/>
        </w:rPr>
        <w:t xml:space="preserve"> </w:t>
      </w:r>
    </w:p>
    <w:p w:rsidR="001A5420" w:rsidRPr="00394029" w:rsidRDefault="001A5420" w:rsidP="00394029">
      <w:pPr>
        <w:rPr>
          <w:rFonts w:ascii="Century Gothic" w:hAnsi="Century Gothic"/>
          <w:sz w:val="24"/>
        </w:rPr>
      </w:pPr>
      <w:r w:rsidRPr="001A5420">
        <w:rPr>
          <w:rFonts w:ascii="Century Gothic" w:hAnsi="Century Gothic"/>
          <w:sz w:val="24"/>
        </w:rPr>
        <w:t>Las tareas del Plan de acción se han diseñadas para la aplicación de los conceptos en su propia clase. La facilitación del curso está estructurada en torno al Plan de acción y la facilitación normalmente ocurre después que usted ha completado de dos a tres tareas del Plan de acción. Al final del curso, cuando usted completa el Plan de acción habrá diseñado materiales y actividades para implementar o mejorar el aprendizaje basado en proyectos en su clase</w:t>
      </w:r>
    </w:p>
    <w:p w:rsidR="001A5420" w:rsidRDefault="001A5420" w:rsidP="00394029">
      <w:pPr>
        <w:rPr>
          <w:rFonts w:ascii="Century Gothic" w:hAnsi="Century Gothic"/>
          <w:b/>
          <w:sz w:val="24"/>
        </w:rPr>
      </w:pPr>
    </w:p>
    <w:p w:rsidR="00394029" w:rsidRDefault="00394029" w:rsidP="00394029">
      <w:pPr>
        <w:rPr>
          <w:rFonts w:ascii="Century Gothic" w:hAnsi="Century Gothic"/>
          <w:sz w:val="24"/>
        </w:rPr>
      </w:pPr>
      <w:r w:rsidRPr="00394029">
        <w:rPr>
          <w:rFonts w:ascii="Century Gothic" w:hAnsi="Century Gothic"/>
          <w:b/>
          <w:sz w:val="24"/>
        </w:rPr>
        <w:t>Objetivo</w:t>
      </w:r>
      <w:r>
        <w:rPr>
          <w:rFonts w:ascii="Century Gothic" w:hAnsi="Century Gothic"/>
          <w:sz w:val="24"/>
        </w:rPr>
        <w:t>:</w:t>
      </w:r>
      <w:r w:rsidRPr="00394029">
        <w:rPr>
          <w:rFonts w:ascii="Century Gothic" w:hAnsi="Century Gothic"/>
          <w:sz w:val="24"/>
        </w:rPr>
        <w:t xml:space="preserve"> </w:t>
      </w:r>
      <w:r w:rsidRPr="00394029">
        <w:rPr>
          <w:rFonts w:ascii="Century Gothic" w:hAnsi="Century Gothic"/>
          <w:sz w:val="24"/>
          <w:u w:val="single"/>
        </w:rPr>
        <w:t>El objetivo del curso</w:t>
      </w:r>
      <w:r w:rsidRPr="00394029">
        <w:rPr>
          <w:rFonts w:ascii="Century Gothic" w:hAnsi="Century Gothic"/>
          <w:sz w:val="24"/>
        </w:rPr>
        <w:t xml:space="preserve"> </w:t>
      </w:r>
    </w:p>
    <w:p w:rsidR="001A5420" w:rsidRDefault="00394029" w:rsidP="00394029">
      <w:pPr>
        <w:rPr>
          <w:rFonts w:ascii="Century Gothic" w:hAnsi="Century Gothic"/>
          <w:sz w:val="24"/>
        </w:rPr>
      </w:pPr>
      <w:r w:rsidRPr="00394029">
        <w:rPr>
          <w:rFonts w:ascii="Century Gothic" w:hAnsi="Century Gothic"/>
          <w:sz w:val="24"/>
        </w:rPr>
        <w:t xml:space="preserve">Enfoque de aprendizaje basado en proyectos es ayudar a los docentes a mejorar su comprensión y la aplicación del enfoque basado en proyectos </w:t>
      </w:r>
      <w:r w:rsidR="001A5420">
        <w:rPr>
          <w:rFonts w:ascii="Century Gothic" w:hAnsi="Century Gothic"/>
          <w:sz w:val="24"/>
        </w:rPr>
        <w:t xml:space="preserve">en el aula del siglo XXI.  </w:t>
      </w:r>
    </w:p>
    <w:p w:rsidR="001A5420" w:rsidRDefault="001A5420" w:rsidP="00394029">
      <w:pPr>
        <w:rPr>
          <w:rFonts w:ascii="Century Gothic" w:hAnsi="Century Gothic"/>
          <w:sz w:val="24"/>
        </w:rPr>
      </w:pPr>
      <w:r w:rsidRPr="001A5420">
        <w:rPr>
          <w:rFonts w:ascii="Century Gothic" w:hAnsi="Century Gothic"/>
          <w:sz w:val="24"/>
        </w:rPr>
        <w:t xml:space="preserve">El componente de aprendizaje virtual consta de cinco módulos más una orientación y un resumen. Cada módulo consta de tres a seis lecciones de actividades interactivas con ejercicios que introducen y exploran conceptos. Muchas de las actividades son seguidas por una tarea en un Plan de acción. Al final del curso, los participantes que completen el Plan de acción habrán diseñado materiales y actividades para implementar o mejorar el enfoque de aprendizaje basado en proyectos en sus clases.  </w:t>
      </w:r>
    </w:p>
    <w:p w:rsidR="00394029" w:rsidRDefault="00394029" w:rsidP="00394029">
      <w:pPr>
        <w:rPr>
          <w:rFonts w:ascii="Century Gothic" w:hAnsi="Century Gothic"/>
          <w:sz w:val="24"/>
        </w:rPr>
      </w:pPr>
      <w:r w:rsidRPr="00394029">
        <w:rPr>
          <w:rFonts w:ascii="Century Gothic" w:hAnsi="Century Gothic"/>
          <w:b/>
          <w:sz w:val="24"/>
        </w:rPr>
        <w:t>Módulo 1:</w:t>
      </w:r>
      <w:r w:rsidRPr="00394029">
        <w:rPr>
          <w:rFonts w:ascii="Century Gothic" w:hAnsi="Century Gothic"/>
          <w:sz w:val="24"/>
        </w:rPr>
        <w:t xml:space="preserve"> </w:t>
      </w:r>
      <w:r w:rsidRPr="00394029">
        <w:rPr>
          <w:rFonts w:ascii="Century Gothic" w:hAnsi="Century Gothic"/>
          <w:sz w:val="24"/>
          <w:u w:val="single"/>
        </w:rPr>
        <w:t>Introducción a los proyectos</w:t>
      </w:r>
      <w:r w:rsidRPr="00394029">
        <w:rPr>
          <w:rFonts w:ascii="Century Gothic" w:hAnsi="Century Gothic"/>
          <w:sz w:val="24"/>
        </w:rPr>
        <w:t xml:space="preserve"> </w:t>
      </w:r>
    </w:p>
    <w:p w:rsidR="00394029" w:rsidRPr="00394029" w:rsidRDefault="00394029" w:rsidP="00394029">
      <w:pPr>
        <w:rPr>
          <w:rFonts w:ascii="Century Gothic" w:hAnsi="Century Gothic"/>
          <w:sz w:val="24"/>
        </w:rPr>
      </w:pPr>
      <w:r w:rsidRPr="00394029">
        <w:rPr>
          <w:rFonts w:ascii="Century Gothic" w:hAnsi="Century Gothic"/>
          <w:sz w:val="24"/>
        </w:rPr>
        <w:t xml:space="preserve">Revise una variedad de proyectos y explore las características y los beneficios de los proyectos. Descubra qué hace que el enfoque de aprendizaje basado en proyectos sea diferente a un enfoque más convencional.  </w:t>
      </w:r>
    </w:p>
    <w:p w:rsidR="00394029" w:rsidRDefault="00394029" w:rsidP="00394029">
      <w:pPr>
        <w:rPr>
          <w:rFonts w:ascii="Century Gothic" w:hAnsi="Century Gothic"/>
          <w:b/>
          <w:sz w:val="24"/>
        </w:rPr>
      </w:pPr>
    </w:p>
    <w:p w:rsidR="00394029" w:rsidRDefault="00394029" w:rsidP="00394029">
      <w:pPr>
        <w:rPr>
          <w:rFonts w:ascii="Century Gothic" w:hAnsi="Century Gothic"/>
          <w:sz w:val="24"/>
        </w:rPr>
      </w:pPr>
      <w:r w:rsidRPr="00394029">
        <w:rPr>
          <w:rFonts w:ascii="Century Gothic" w:hAnsi="Century Gothic"/>
          <w:b/>
          <w:sz w:val="24"/>
        </w:rPr>
        <w:t>Módulo 2:</w:t>
      </w:r>
      <w:r w:rsidRPr="00394029">
        <w:rPr>
          <w:rFonts w:ascii="Century Gothic" w:hAnsi="Century Gothic"/>
          <w:sz w:val="24"/>
        </w:rPr>
        <w:t xml:space="preserve"> </w:t>
      </w:r>
      <w:r w:rsidRPr="00394029">
        <w:rPr>
          <w:rFonts w:ascii="Century Gothic" w:hAnsi="Century Gothic"/>
          <w:sz w:val="24"/>
          <w:u w:val="single"/>
        </w:rPr>
        <w:t>Diseño de proyectos</w:t>
      </w:r>
      <w:r w:rsidRPr="00394029">
        <w:rPr>
          <w:rFonts w:ascii="Century Gothic" w:hAnsi="Century Gothic"/>
          <w:sz w:val="24"/>
        </w:rPr>
        <w:t xml:space="preserve"> </w:t>
      </w:r>
    </w:p>
    <w:p w:rsidR="00394029" w:rsidRPr="00394029" w:rsidRDefault="00394029" w:rsidP="00394029">
      <w:pPr>
        <w:rPr>
          <w:rFonts w:ascii="Century Gothic" w:hAnsi="Century Gothic"/>
          <w:sz w:val="24"/>
        </w:rPr>
      </w:pPr>
      <w:r w:rsidRPr="00394029">
        <w:rPr>
          <w:rFonts w:ascii="Century Gothic" w:hAnsi="Century Gothic"/>
          <w:sz w:val="24"/>
        </w:rPr>
        <w:t xml:space="preserve">El uso de los pasos de diseño del proyecto y herramientas de planificación, identifican lo que los estudiantes deberían aprender, escoger un proyecto para alcanzar las metas y pensar en qué aspecto tendrá el proyecto en su propia clase.  </w:t>
      </w:r>
    </w:p>
    <w:p w:rsidR="00394029" w:rsidRDefault="00394029" w:rsidP="00394029">
      <w:pPr>
        <w:rPr>
          <w:rFonts w:ascii="Century Gothic" w:hAnsi="Century Gothic"/>
          <w:sz w:val="24"/>
        </w:rPr>
      </w:pPr>
      <w:r w:rsidRPr="00394029">
        <w:rPr>
          <w:rFonts w:ascii="Century Gothic" w:hAnsi="Century Gothic"/>
          <w:b/>
          <w:sz w:val="24"/>
        </w:rPr>
        <w:t>Módulo 3:</w:t>
      </w:r>
      <w:r w:rsidRPr="00394029">
        <w:rPr>
          <w:rFonts w:ascii="Century Gothic" w:hAnsi="Century Gothic"/>
          <w:sz w:val="24"/>
        </w:rPr>
        <w:t xml:space="preserve"> </w:t>
      </w:r>
      <w:r w:rsidRPr="00394029">
        <w:rPr>
          <w:rFonts w:ascii="Century Gothic" w:hAnsi="Century Gothic"/>
          <w:sz w:val="24"/>
          <w:u w:val="single"/>
        </w:rPr>
        <w:t>Evaluación de proyectos</w:t>
      </w:r>
      <w:r w:rsidRPr="00394029">
        <w:rPr>
          <w:rFonts w:ascii="Century Gothic" w:hAnsi="Century Gothic"/>
          <w:sz w:val="24"/>
        </w:rPr>
        <w:t xml:space="preserve"> </w:t>
      </w:r>
    </w:p>
    <w:p w:rsidR="00394029" w:rsidRPr="00394029" w:rsidRDefault="00394029" w:rsidP="00394029">
      <w:pPr>
        <w:rPr>
          <w:rFonts w:ascii="Century Gothic" w:hAnsi="Century Gothic"/>
          <w:sz w:val="24"/>
        </w:rPr>
      </w:pPr>
      <w:r w:rsidRPr="00394029">
        <w:rPr>
          <w:rFonts w:ascii="Century Gothic" w:hAnsi="Century Gothic"/>
          <w:sz w:val="24"/>
        </w:rPr>
        <w:lastRenderedPageBreak/>
        <w:t xml:space="preserve">Integre la evaluación a lo largo de todo el proyecto para proveer realimentación y monitorear los avances en el conocimiento de contenidos y destrezas del siglo XXI.  </w:t>
      </w:r>
    </w:p>
    <w:p w:rsidR="00394029" w:rsidRDefault="00394029" w:rsidP="00394029">
      <w:pPr>
        <w:rPr>
          <w:rFonts w:ascii="Century Gothic" w:hAnsi="Century Gothic"/>
          <w:sz w:val="24"/>
        </w:rPr>
      </w:pPr>
      <w:r w:rsidRPr="00394029">
        <w:rPr>
          <w:rFonts w:ascii="Century Gothic" w:hAnsi="Century Gothic"/>
          <w:b/>
          <w:sz w:val="24"/>
        </w:rPr>
        <w:t>Módulo 4:</w:t>
      </w:r>
      <w:r w:rsidRPr="00394029">
        <w:rPr>
          <w:rFonts w:ascii="Century Gothic" w:hAnsi="Century Gothic"/>
          <w:sz w:val="24"/>
        </w:rPr>
        <w:t xml:space="preserve"> </w:t>
      </w:r>
      <w:r w:rsidRPr="00394029">
        <w:rPr>
          <w:rFonts w:ascii="Century Gothic" w:hAnsi="Century Gothic"/>
          <w:sz w:val="24"/>
          <w:u w:val="single"/>
        </w:rPr>
        <w:t xml:space="preserve">Planificación de proyectos </w:t>
      </w:r>
    </w:p>
    <w:p w:rsidR="00394029" w:rsidRDefault="00394029" w:rsidP="00394029">
      <w:pPr>
        <w:rPr>
          <w:rFonts w:ascii="Century Gothic" w:hAnsi="Century Gothic"/>
          <w:sz w:val="24"/>
        </w:rPr>
      </w:pPr>
      <w:r w:rsidRPr="00394029">
        <w:rPr>
          <w:rFonts w:ascii="Century Gothic" w:hAnsi="Century Gothic"/>
          <w:sz w:val="24"/>
        </w:rPr>
        <w:t xml:space="preserve">Aprenda estrategias y desarrolle herramientas para apoyar la autoevaluación de los alumnos en la autonomía y la administración en los detalles del día a día en el trabajo del proyecto. </w:t>
      </w:r>
    </w:p>
    <w:p w:rsidR="00394029" w:rsidRDefault="00394029" w:rsidP="00394029">
      <w:pPr>
        <w:rPr>
          <w:rFonts w:ascii="Century Gothic" w:hAnsi="Century Gothic"/>
          <w:sz w:val="24"/>
          <w:u w:val="single"/>
        </w:rPr>
      </w:pPr>
      <w:r w:rsidRPr="00394029">
        <w:rPr>
          <w:rFonts w:ascii="Century Gothic" w:hAnsi="Century Gothic"/>
          <w:b/>
          <w:sz w:val="24"/>
        </w:rPr>
        <w:t>Módulo 5:</w:t>
      </w:r>
      <w:r w:rsidRPr="00394029">
        <w:rPr>
          <w:rFonts w:ascii="Century Gothic" w:hAnsi="Century Gothic"/>
          <w:sz w:val="24"/>
        </w:rPr>
        <w:t xml:space="preserve"> </w:t>
      </w:r>
      <w:r w:rsidRPr="00394029">
        <w:rPr>
          <w:rFonts w:ascii="Century Gothic" w:hAnsi="Century Gothic"/>
          <w:sz w:val="24"/>
          <w:u w:val="single"/>
        </w:rPr>
        <w:t xml:space="preserve">Orientar el aprendizaje durante los proyectos </w:t>
      </w:r>
    </w:p>
    <w:p w:rsidR="00394029" w:rsidRPr="00394029" w:rsidRDefault="00394029" w:rsidP="00394029">
      <w:pPr>
        <w:rPr>
          <w:rFonts w:ascii="Century Gothic" w:hAnsi="Century Gothic"/>
          <w:sz w:val="24"/>
        </w:rPr>
      </w:pPr>
      <w:r w:rsidRPr="00394029">
        <w:rPr>
          <w:rFonts w:ascii="Century Gothic" w:hAnsi="Century Gothic"/>
          <w:sz w:val="24"/>
        </w:rPr>
        <w:t>El planeamiento del aprendizaje mejora los procesos de aprendizaje y las destrezas de pensamiento, tales como la colaboración y el pensamiento crítico.</w:t>
      </w:r>
    </w:p>
    <w:sectPr w:rsidR="00394029" w:rsidRPr="003940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29"/>
    <w:rsid w:val="001A5420"/>
    <w:rsid w:val="00394029"/>
    <w:rsid w:val="00417E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google.com.mx/url?sa=i&amp;source=images&amp;cd=&amp;cad=rja&amp;docid=k6ks8ISi9wTN_M&amp;tbnid=YFtEHuzRjglHnM:&amp;ved=0CAgQjRwwAA&amp;url=http://web.sec-coahuila.gob.mx/cidies/catalogo/bd/administradordirectorio.asp&amp;ei=lDlwUp7uH47oiAKsuIGIBQ&amp;psig=AFQjCNH2xz7azCYcct_3m4kWE8JAj3_G1A&amp;ust=1383172884566186"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507</Words>
  <Characters>2790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VERONICA GARCIA SUSTAITA</dc:creator>
  <cp:lastModifiedBy>CLAUDIA VERONICA GARCIA SUSTAITA</cp:lastModifiedBy>
  <cp:revision>1</cp:revision>
  <dcterms:created xsi:type="dcterms:W3CDTF">2014-01-17T00:22:00Z</dcterms:created>
  <dcterms:modified xsi:type="dcterms:W3CDTF">2014-01-17T00:39:00Z</dcterms:modified>
</cp:coreProperties>
</file>