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ESCUELA NORMAL DE EDUCACIÓN PREESCOLAR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1474195" cx="1985963"/>
            <wp:effectExtent t="0" b="0" r="0" l="0"/>
            <wp:docPr id="2" name="image00.gif"/>
            <a:graphic>
              <a:graphicData uri="http://schemas.openxmlformats.org/drawingml/2006/picture">
                <pic:pic>
                  <pic:nvPicPr>
                    <pic:cNvPr id="0" name="image00.gif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474195" cx="1985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TRABAJO COLABORATIVO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Natalia López Farías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  Greta González Gaytán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1° “C”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La tecnología aplicada en los centros escolares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Profesor Pablo de León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¿Qué es un trabajo colaborativo?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Es una estrategia de enseñanza-aprendizaje en la que se organizan pequeños grupos de trabajo; en los que cada miembro tiene objetivos en común que han sido establecidos previamente y sobre los cuales se realizará el trabajo.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¿Qué es una comunidad virtual?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El término </w:t>
      </w:r>
      <w:r w:rsidRPr="00000000" w:rsidR="00000000" w:rsidDel="00000000">
        <w:rPr>
          <w:sz w:val="24"/>
          <w:rtl w:val="0"/>
        </w:rPr>
        <w:t xml:space="preserve">comunidad virtual</w:t>
      </w:r>
      <w:r w:rsidRPr="00000000" w:rsidR="00000000" w:rsidDel="00000000">
        <w:rPr>
          <w:sz w:val="24"/>
          <w:rtl w:val="0"/>
        </w:rPr>
        <w:t xml:space="preserve"> designa a las personas unidas a través de Internet por valores o intereses comunes (por ejemplo, gustos, pasatiempos o profesiones). La meta de la comunidad es crear valores a través del intercambio entre los miembros al compartir sugerencias o consejos o simplemente al debatir un tema.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Establecer una comunidad virtual puede resultar beneficioso para un sitio web ya que una comunidad crea en sus miembros un sentimiento de pertenencia y permite que el sitio web se desarrolle a través de un esfuerzo colectivo.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Más aún, una gran comunidad de usuarios puede tornarse algo positivo para la imagen del sitio porque presenta un factor de atracción y otorga al usuario una sensación de confianza.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¿Qué es una comunidad virtual educativa?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Las comunidades virtuales de aprendizaje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Se planea que las comunidades virtuales de aprendizaje pretenden la construcción personal o colectiva de determinados conocimientos mediante las interacciones entre sus integrantes que colaboran para el logro del objetivo. Es un poderoso recurso educativo para los estudiantes y profesores, pues supone un medio de formación continuo mediante apoyos cognitivos.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Ejemplos de comunidades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Wikipedia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Sitio web donde existen más de 37 millones de artículos que los usuarios crean y modifican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buenastareas.com 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Este sitio ofrece tareas de cualquier tema realizadas por usuarios anteriormente, creando una cuenta y como requisito subir al sitio una tarea realizada,  el usuario tendrá derecho a ver y hace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¿Porqué son importantes las comunidades educativas?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Son importantes por el tipo y calidad de la información, con contenidos relevantes que dan fundamento a la formación académica de los estudiantes.También es importante la claridad en las directrices que rigen a la comunidad y la participación.La forma de comportamiento positivo de sus miembros que los incita a practicar valores  como respeto, responsabilidad, honestidad, entre otros.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b w:val="1"/>
          <w:color w:val="1155cc"/>
          <w:sz w:val="28"/>
          <w:rtl w:val="0"/>
        </w:rPr>
        <w:t xml:space="preserve">Comunidad educativa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b w:val="1"/>
          <w:color w:val="1155cc"/>
          <w:sz w:val="28"/>
          <w:rtl w:val="0"/>
        </w:rPr>
        <w:t xml:space="preserve">Socrative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drawing>
          <wp:inline distR="114300" distT="114300" distB="114300" distL="114300">
            <wp:extent cy="1228725" cx="3333750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228725" cx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Socrative es un sistema de respuesta de los estudiantes que ayudan a los profesores a participar de sus salones de clase a través de una serie de ejercicios y juegos educativos a través de los teléfonos inteligentes, computadoras portátiles y tabletas. Socrative es un sistema que ayuda a los profesores mediante la participación de sus aulas con una serie de ejercicios y juegos educativos. Las aplicaciones son super simples y toma segundos para iniciar sesión. Socrative ejecuta en tabletas, teléfonos inteligentes y computadoras portátiles. El profesor ingresa a través de su dispositivo y selecciona una actividad que controla el flujo de preguntas y juegos. Los estudiantes simplemente se registran con su dispositivo para interactuar en tiempo real con el contenido. 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EVALUACIÓN 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Las respuestas de los estudiantes se representan visualmente en busca de opción múltiple, preguntas de respuesta verdadero / falso y cortos. Para las actividades de pre-planificados un profesor puede ver los informes en línea como una hoja de cálculo de Google o enviado por correo electrónico como un archivo Excel.</w:t>
      </w:r>
    </w:p>
    <w:p w:rsidP="00000000" w:rsidRPr="00000000" w:rsidR="00000000" w:rsidDel="00000000" w:rsidRDefault="00000000">
      <w:pPr>
        <w:spacing w:lineRule="auto" w:after="200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0.gif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título.docx</dc:title>
</cp:coreProperties>
</file>