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A6" w:rsidRPr="00407025" w:rsidRDefault="009575E7">
      <w:pPr>
        <w:rPr>
          <w:b/>
        </w:rPr>
      </w:pPr>
      <w:r>
        <w:rPr>
          <w:b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573.05pt;margin-top:182.7pt;width:0;height:16.25pt;z-index:251682816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noProof/>
          <w:lang w:eastAsia="es-MX"/>
        </w:rPr>
        <w:pict>
          <v:shape id="_x0000_s1048" type="#_x0000_t32" style="position:absolute;margin-left:427.7pt;margin-top:182.7pt;width:0;height:16.25pt;z-index:251681792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noProof/>
          <w:lang w:eastAsia="es-MX"/>
        </w:rPr>
        <w:pict>
          <v:shape id="_x0000_s1047" type="#_x0000_t32" style="position:absolute;margin-left:276.25pt;margin-top:182.7pt;width:0;height:16.25pt;z-index:251680768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noProof/>
          <w:lang w:eastAsia="es-MX"/>
        </w:rPr>
        <w:pict>
          <v:shape id="_x0000_s1046" type="#_x0000_t32" style="position:absolute;margin-left:127.5pt;margin-top:182.7pt;width:0;height:16.25pt;z-index:251657213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noProof/>
          <w:lang w:eastAsia="es-MX"/>
        </w:rPr>
        <w:pict>
          <v:shape id="_x0000_s1045" type="#_x0000_t32" style="position:absolute;margin-left:-11.75pt;margin-top:182.7pt;width:0;height:161.3pt;z-index:251658238" o:connectortype="straight" strokecolor="black [3213]" strokeweight="3pt">
            <v:shadow type="perspective" color="#7f7f7f [1601]" opacity=".5" offset="1pt" offset2="-1pt"/>
          </v:shape>
        </w:pict>
      </w:r>
      <w:r>
        <w:rPr>
          <w:b/>
          <w:noProof/>
          <w:lang w:eastAsia="es-MX"/>
        </w:rPr>
        <w:pict>
          <v:shape id="_x0000_s1044" type="#_x0000_t32" style="position:absolute;margin-left:200.15pt;margin-top:-13.55pt;width:0;height:93.2pt;z-index:251659263" o:connectortype="straight" strokecolor="black [3213]" strokeweight="3pt">
            <v:shadow type="perspective" color="#7f7f7f [1601]" opacity=".5" offset="1pt" offset2="-1pt"/>
          </v:shape>
        </w:pict>
      </w:r>
      <w:r w:rsidR="00D0121F">
        <w:rPr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41.15pt;margin-top:140.7pt;width:134.6pt;height:42pt;z-index:251677696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0121F" w:rsidRPr="00D0121F" w:rsidRDefault="00D0121F" w:rsidP="00D0121F">
                  <w:pPr>
                    <w:pStyle w:val="NoSpacing"/>
                    <w:jc w:val="center"/>
                    <w:rPr>
                      <w:b/>
                    </w:rPr>
                  </w:pPr>
                  <w:r w:rsidRPr="00D0121F">
                    <w:rPr>
                      <w:b/>
                    </w:rPr>
                    <w:t>El perspectivismo estratégico</w:t>
                  </w:r>
                </w:p>
                <w:p w:rsidR="00D0121F" w:rsidRPr="00D0121F" w:rsidRDefault="00D0121F" w:rsidP="00D0121F">
                  <w:pPr>
                    <w:pStyle w:val="NoSpacing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40" type="#_x0000_t202" style="position:absolute;margin-left:393.2pt;margin-top:140.7pt;width:134.6pt;height:42pt;z-index:251676672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0121F" w:rsidRPr="00D0121F" w:rsidRDefault="00D0121F" w:rsidP="00D0121F">
                  <w:pPr>
                    <w:pStyle w:val="NoSpacing"/>
                    <w:jc w:val="center"/>
                    <w:rPr>
                      <w:b/>
                    </w:rPr>
                  </w:pPr>
                  <w:r w:rsidRPr="00D0121F">
                    <w:rPr>
                      <w:b/>
                    </w:rPr>
                    <w:t>La construcción de selfs múltiples</w:t>
                  </w: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43" type="#_x0000_t202" style="position:absolute;margin-left:541.15pt;margin-top:198.95pt;width:134.6pt;height:295.4pt;z-index:251679744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0121F" w:rsidRDefault="00D0121F" w:rsidP="00D0121F">
                  <w:pPr>
                    <w:pStyle w:val="NoSpacing"/>
                    <w:jc w:val="both"/>
                  </w:pPr>
                  <w:r>
                    <w:t>Se integra con conjuntos de acciones y palabras en tiempos y espacios limitados que rápidamente el niño reconoce y anticipa y también con elementos emocionales como olores sabores, actitudes y expresiones sentimentales que se asocian a estas situaciones. También aprende a situarse en este contexto como observador de la acción del adulto y progresivamente como protagonista de este.</w:t>
                  </w:r>
                </w:p>
                <w:p w:rsidR="00D0121F" w:rsidRPr="00D0121F" w:rsidRDefault="00D0121F" w:rsidP="00D0121F">
                  <w:pPr>
                    <w:pStyle w:val="NoSpacing"/>
                    <w:jc w:val="both"/>
                  </w:pP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42" type="#_x0000_t202" style="position:absolute;margin-left:393.2pt;margin-top:198.95pt;width:134.6pt;height:295.4pt;z-index:25167872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0121F" w:rsidRDefault="00D0121F" w:rsidP="00D0121F">
                  <w:pPr>
                    <w:pStyle w:val="NoSpacing"/>
                    <w:jc w:val="both"/>
                  </w:pPr>
                  <w:r>
                    <w:t>Se integra con conjuntos de acciones y palabras en tiempos y espacios limitados que rápidamente el niño reconoce y anticipa y también con elementos emocionales como olores sabores, actitudes y expresiones sentimentales que se asocian a estas situaciones. También aprende a situarse en este contexto como observador de la acción del adulto y progresivamente como protagonista de este.</w:t>
                  </w:r>
                </w:p>
                <w:p w:rsidR="00D0121F" w:rsidRPr="00D0121F" w:rsidRDefault="00D0121F" w:rsidP="00D0121F">
                  <w:pPr>
                    <w:pStyle w:val="NoSpacing"/>
                    <w:jc w:val="both"/>
                  </w:pP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8" type="#_x0000_t202" style="position:absolute;margin-left:247.6pt;margin-top:198.95pt;width:134.6pt;height:295.4pt;z-index:251674624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0121F" w:rsidRDefault="00D0121F" w:rsidP="00D0121F">
                  <w:pPr>
                    <w:pStyle w:val="NoSpacing"/>
                    <w:jc w:val="both"/>
                  </w:pPr>
                  <w:r>
                    <w:t>Se integra con conjuntos de acciones y palabras en tiempos y espacios limitados que rápidamente el niño reconoce y anticipa y también con elementos emocionales como olores sabores, actitudes y expresiones sentimentales que se asocian a estas situaciones. También aprende a situarse en este contexto como observador de la acción del adulto y progresivamente como protagonista de este.</w:t>
                  </w:r>
                </w:p>
                <w:p w:rsidR="00D0121F" w:rsidRPr="00D0121F" w:rsidRDefault="00D0121F" w:rsidP="00D0121F">
                  <w:pPr>
                    <w:pStyle w:val="NoSpacing"/>
                    <w:jc w:val="both"/>
                  </w:pP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9" type="#_x0000_t202" style="position:absolute;margin-left:247.6pt;margin-top:140.7pt;width:77.5pt;height:42pt;z-index:251675648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0121F" w:rsidRPr="00D0121F" w:rsidRDefault="00D0121F" w:rsidP="00D0121F">
                  <w:pPr>
                    <w:pStyle w:val="NoSpacing"/>
                    <w:jc w:val="center"/>
                    <w:rPr>
                      <w:b/>
                      <w:lang w:val="es-ES_tradnl"/>
                    </w:rPr>
                  </w:pPr>
                  <w:r w:rsidRPr="00D0121F">
                    <w:rPr>
                      <w:b/>
                      <w:lang w:val="es-ES_tradnl"/>
                    </w:rPr>
                    <w:t>Contexto cognitivo</w:t>
                  </w: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6" type="#_x0000_t202" style="position:absolute;margin-left:90.9pt;margin-top:140.7pt;width:77.5pt;height:42pt;z-index:251672576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0121F" w:rsidRPr="00D0121F" w:rsidRDefault="00D0121F" w:rsidP="00D0121F">
                  <w:pPr>
                    <w:pStyle w:val="NoSpacing"/>
                    <w:jc w:val="center"/>
                    <w:rPr>
                      <w:b/>
                      <w:lang w:val="es-ES_tradnl"/>
                    </w:rPr>
                  </w:pPr>
                  <w:r w:rsidRPr="00D0121F">
                    <w:rPr>
                      <w:b/>
                      <w:lang w:val="es-ES_tradnl"/>
                    </w:rPr>
                    <w:t xml:space="preserve">Aprendizaje </w:t>
                  </w:r>
                  <w:r w:rsidR="009575E7" w:rsidRPr="00D0121F">
                    <w:rPr>
                      <w:b/>
                      <w:lang w:val="es-ES_tradnl"/>
                    </w:rPr>
                    <w:t>estratégico</w:t>
                  </w: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7" type="#_x0000_t202" style="position:absolute;margin-left:90.9pt;margin-top:198.95pt;width:137.8pt;height:295.4pt;z-index:25167360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0121F" w:rsidRDefault="00D0121F" w:rsidP="00D0121F">
                  <w:pPr>
                    <w:pStyle w:val="NoSpacing"/>
                    <w:jc w:val="both"/>
                  </w:pPr>
                  <w:r>
                    <w:t xml:space="preserve">Las teorías actuales no se ocupan del alumno completo en su contexto. Los estudiantes auto-regulan su conducta en clase pero es esencial conocer sus metas personales para comprender como y porqué regulan de ese modo </w:t>
                  </w:r>
                </w:p>
                <w:p w:rsidR="00D0121F" w:rsidRDefault="00D0121F" w:rsidP="00D0121F">
                  <w:pPr>
                    <w:pStyle w:val="NoSpacing"/>
                    <w:jc w:val="both"/>
                  </w:pPr>
                  <w:r>
                    <w:t>-Tampoco se manejan sobre autorregulación, toman en consideración las metas socio-emocionales del alumno y únicamente se refieren a metas académicas.</w:t>
                  </w:r>
                </w:p>
                <w:p w:rsidR="00D0121F" w:rsidRPr="00D0121F" w:rsidRDefault="00D0121F" w:rsidP="00D0121F">
                  <w:pPr>
                    <w:pStyle w:val="NoSpacing"/>
                    <w:jc w:val="both"/>
                  </w:pP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1" type="#_x0000_t202" style="position:absolute;margin-left:-46.5pt;margin-top:198.95pt;width:121.7pt;height:133.75pt;z-index:251667456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07025" w:rsidRPr="00390DEB" w:rsidRDefault="00390DEB" w:rsidP="00D0121F">
                  <w:pPr>
                    <w:pStyle w:val="NoSpacing"/>
                    <w:jc w:val="both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Por lo que respecta a las estrategias de aprendizaje, supone un cambio radical en la forma de entender la complejidad de los contextos de enseñanza-aprendizaje.</w:t>
                  </w: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2" type="#_x0000_t202" style="position:absolute;margin-left:-46.6pt;margin-top:344pt;width:121.8pt;height:150.35pt;z-index:25166848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90DEB" w:rsidRPr="00390DEB" w:rsidRDefault="00390DEB" w:rsidP="00D0121F">
                  <w:pPr>
                    <w:pStyle w:val="NoSpacing"/>
                    <w:jc w:val="both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Condiciones para un contexto estratégico: concepciones, </w:t>
                  </w:r>
                  <w:r w:rsidR="009575E7">
                    <w:rPr>
                      <w:lang w:val="es-ES_tradnl"/>
                    </w:rPr>
                    <w:t>formatos</w:t>
                  </w:r>
                  <w:r>
                    <w:rPr>
                      <w:lang w:val="es-ES_tradnl"/>
                    </w:rPr>
                    <w:t xml:space="preserve"> de interacción, organización del </w:t>
                  </w:r>
                  <w:r w:rsidR="009575E7">
                    <w:rPr>
                      <w:lang w:val="es-ES_tradnl"/>
                    </w:rPr>
                    <w:t>currículo</w:t>
                  </w:r>
                  <w:r>
                    <w:rPr>
                      <w:lang w:val="es-ES_tradnl"/>
                    </w:rPr>
                    <w:t>, asesoramiento psicopedagógico.</w:t>
                  </w: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30" type="#_x0000_t202" style="position:absolute;margin-left:-47.1pt;margin-top:156.95pt;width:77.5pt;height:25.75pt;z-index:251666432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07025" w:rsidRPr="00D0121F" w:rsidRDefault="009575E7" w:rsidP="00D0121F">
                  <w:pPr>
                    <w:pStyle w:val="NoSpacing"/>
                    <w:jc w:val="center"/>
                    <w:rPr>
                      <w:b/>
                      <w:lang w:val="es-ES_tradnl"/>
                    </w:rPr>
                  </w:pPr>
                  <w:r w:rsidRPr="00D0121F">
                    <w:rPr>
                      <w:b/>
                      <w:lang w:val="es-ES_tradnl"/>
                    </w:rPr>
                    <w:t>Concepto</w:t>
                  </w:r>
                </w:p>
              </w:txbxContent>
            </v:textbox>
          </v:shape>
        </w:pict>
      </w:r>
      <w:r w:rsidR="00D0121F">
        <w:rPr>
          <w:b/>
          <w:noProof/>
          <w:lang w:eastAsia="es-MX"/>
        </w:rPr>
        <w:pict>
          <v:shape id="_x0000_s1029" type="#_x0000_t202" style="position:absolute;margin-left:135.05pt;margin-top:79.65pt;width:346pt;height:38.1pt;z-index:25166540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07025" w:rsidRPr="00407025" w:rsidRDefault="00407025" w:rsidP="00D0121F">
                  <w:pPr>
                    <w:pStyle w:val="NoSpacing"/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Toma de decisiones conscientes e </w:t>
                  </w:r>
                  <w:r w:rsidR="009575E7">
                    <w:rPr>
                      <w:lang w:val="es-ES_tradnl"/>
                    </w:rPr>
                    <w:t>intencionales</w:t>
                  </w:r>
                  <w:r>
                    <w:rPr>
                      <w:lang w:val="es-ES_tradnl"/>
                    </w:rPr>
                    <w:t>, dirigidas a metas de aprendizaje y ajustadas a las condiciones de un contexto especifico.</w:t>
                  </w:r>
                </w:p>
              </w:txbxContent>
            </v:textbox>
          </v:shape>
        </w:pict>
      </w:r>
      <w:r w:rsidR="00390DEB" w:rsidRPr="00407025">
        <w:rPr>
          <w:b/>
          <w:noProof/>
          <w:lang w:val="en-US" w:eastAsia="zh-TW"/>
        </w:rPr>
        <w:pict>
          <v:shape id="_x0000_s1028" type="#_x0000_t202" style="position:absolute;margin-left:134.75pt;margin-top:42.9pt;width:135.8pt;height:21.65pt;z-index:25166438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07025" w:rsidRPr="00407025" w:rsidRDefault="00407025" w:rsidP="00D0121F">
                  <w:pPr>
                    <w:pStyle w:val="NoSpacing"/>
                    <w:jc w:val="center"/>
                    <w:rPr>
                      <w:lang w:val="en-US"/>
                    </w:rPr>
                  </w:pPr>
                  <w:r>
                    <w:t>Estrategias de aprendizaje</w:t>
                  </w:r>
                </w:p>
              </w:txbxContent>
            </v:textbox>
          </v:shape>
        </w:pict>
      </w:r>
      <w:r w:rsidR="00390DEB" w:rsidRPr="00407025">
        <w:rPr>
          <w:b/>
          <w:noProof/>
          <w:lang w:val="en-US" w:eastAsia="zh-TW"/>
        </w:rPr>
        <w:pict>
          <v:shape id="_x0000_s1027" type="#_x0000_t202" style="position:absolute;margin-left:134.75pt;margin-top:4.65pt;width:270.65pt;height:21.3pt;z-index:251662336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07025" w:rsidRPr="00407025" w:rsidRDefault="00407025" w:rsidP="00D0121F">
                  <w:pPr>
                    <w:pStyle w:val="NoSpacing"/>
                    <w:jc w:val="center"/>
                  </w:pPr>
                  <w:r>
                    <w:t xml:space="preserve">“Aprender </w:t>
                  </w:r>
                  <w:r w:rsidR="009575E7">
                    <w:t>cómo</w:t>
                  </w:r>
                  <w:r>
                    <w:t xml:space="preserve"> aprender” demanda social del siglo XXI</w:t>
                  </w:r>
                </w:p>
              </w:txbxContent>
            </v:textbox>
          </v:shape>
        </w:pict>
      </w:r>
      <w:r w:rsidR="00390DEB" w:rsidRPr="00407025">
        <w:rPr>
          <w:b/>
          <w:noProof/>
          <w:lang w:val="en-US" w:eastAsia="zh-TW"/>
        </w:rPr>
        <w:pict>
          <v:shape id="_x0000_s1026" type="#_x0000_t202" style="position:absolute;margin-left:134.15pt;margin-top:-47.1pt;width:346.9pt;height:33.55pt;z-index:251660288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07025" w:rsidRPr="00D0121F" w:rsidRDefault="00407025" w:rsidP="00D0121F">
                  <w:pPr>
                    <w:pStyle w:val="NoSpacing"/>
                    <w:jc w:val="center"/>
                    <w:rPr>
                      <w:b/>
                    </w:rPr>
                  </w:pPr>
                  <w:r w:rsidRPr="00D0121F">
                    <w:rPr>
                      <w:b/>
                    </w:rPr>
                    <w:t>Hacia un nuevo paradigma del aprendizaje estratégico: el papel de la mediación social, de self y de las emociones.</w:t>
                  </w:r>
                </w:p>
              </w:txbxContent>
            </v:textbox>
          </v:shape>
        </w:pict>
      </w:r>
      <w:r w:rsidR="00390DEB">
        <w:rPr>
          <w:b/>
          <w:noProof/>
          <w:lang w:eastAsia="es-MX"/>
        </w:rPr>
        <w:pict>
          <v:shape id="_x0000_s1033" type="#_x0000_t202" style="position:absolute;margin-left:133.55pt;margin-top:553.9pt;width:175.85pt;height:33.4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390DEB" w:rsidRPr="00407025" w:rsidRDefault="00390DEB" w:rsidP="00390DEB">
                  <w:pPr>
                    <w:rPr>
                      <w:lang w:val="en-US"/>
                    </w:rPr>
                  </w:pPr>
                  <w:r>
                    <w:t>Estrategias de aprendizaje</w:t>
                  </w:r>
                </w:p>
              </w:txbxContent>
            </v:textbox>
          </v:shape>
        </w:pict>
      </w:r>
    </w:p>
    <w:sectPr w:rsidR="00341FA6" w:rsidRPr="00407025" w:rsidSect="00390D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025"/>
    <w:rsid w:val="00341FA6"/>
    <w:rsid w:val="00390DEB"/>
    <w:rsid w:val="00407025"/>
    <w:rsid w:val="009575E7"/>
    <w:rsid w:val="00CA4515"/>
    <w:rsid w:val="00D0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44"/>
        <o:r id="V:Rule4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2014-06-22T03:08:00Z</dcterms:created>
  <dcterms:modified xsi:type="dcterms:W3CDTF">2014-06-22T03:46:00Z</dcterms:modified>
</cp:coreProperties>
</file>