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DB" w:rsidRDefault="005D1DD5" w:rsidP="005D1DD5">
      <w:pPr>
        <w:jc w:val="center"/>
        <w:rPr>
          <w:b/>
          <w:sz w:val="24"/>
          <w:szCs w:val="24"/>
        </w:rPr>
      </w:pPr>
      <w:r w:rsidRPr="005D1DD5">
        <w:rPr>
          <w:b/>
          <w:sz w:val="24"/>
          <w:szCs w:val="24"/>
        </w:rPr>
        <w:t>LA INFLUENCIA DE LA CULTURA EN LA COMUNIDAD Y EN LA ESCUELA Y VICEVERSA</w:t>
      </w:r>
    </w:p>
    <w:p w:rsidR="005D1DD5" w:rsidRDefault="005D1DD5" w:rsidP="005D1DD5">
      <w:pPr>
        <w:jc w:val="center"/>
        <w:rPr>
          <w:b/>
          <w:sz w:val="24"/>
          <w:szCs w:val="24"/>
        </w:rPr>
      </w:pPr>
    </w:p>
    <w:p w:rsidR="005D1DD5" w:rsidRDefault="005D1DD5" w:rsidP="000A7A87">
      <w:pPr>
        <w:rPr>
          <w:b/>
          <w:sz w:val="24"/>
          <w:szCs w:val="24"/>
        </w:rPr>
      </w:pPr>
      <w:r>
        <w:rPr>
          <w:b/>
          <w:sz w:val="24"/>
          <w:szCs w:val="24"/>
        </w:rPr>
        <w:t>Término de cultura:</w:t>
      </w:r>
      <w:bookmarkStart w:id="0" w:name="_GoBack"/>
      <w:bookmarkEnd w:id="0"/>
    </w:p>
    <w:p w:rsidR="005D1DD5" w:rsidRDefault="005D1DD5" w:rsidP="005D1DD5">
      <w:pPr>
        <w:rPr>
          <w:b/>
          <w:sz w:val="24"/>
          <w:szCs w:val="24"/>
        </w:rPr>
      </w:pPr>
      <w:r>
        <w:rPr>
          <w:b/>
          <w:sz w:val="24"/>
          <w:szCs w:val="24"/>
        </w:rPr>
        <w:t>Visita al Jardín de Niños:</w:t>
      </w:r>
      <w:r w:rsidR="00E27AEE">
        <w:rPr>
          <w:b/>
          <w:sz w:val="24"/>
          <w:szCs w:val="24"/>
        </w:rPr>
        <w:t xml:space="preserve"> Luis A. </w:t>
      </w:r>
      <w:proofErr w:type="spellStart"/>
      <w:r w:rsidR="00E27AEE">
        <w:rPr>
          <w:b/>
          <w:sz w:val="24"/>
          <w:szCs w:val="24"/>
        </w:rPr>
        <w:t>Beauregard</w:t>
      </w:r>
      <w:proofErr w:type="spellEnd"/>
      <w:r w:rsidR="00E27AEE">
        <w:rPr>
          <w:b/>
          <w:sz w:val="24"/>
          <w:szCs w:val="24"/>
        </w:rPr>
        <w:t>.</w:t>
      </w:r>
    </w:p>
    <w:p w:rsidR="005D1DD5" w:rsidRDefault="005D1DD5" w:rsidP="005D1DD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Contexto:</w:t>
      </w:r>
      <w:r w:rsidR="00E27AEE">
        <w:rPr>
          <w:b/>
          <w:sz w:val="24"/>
          <w:szCs w:val="24"/>
        </w:rPr>
        <w:t xml:space="preserve"> Zona Centro.</w:t>
      </w:r>
    </w:p>
    <w:tbl>
      <w:tblPr>
        <w:tblStyle w:val="Cuadrculaclara-nfasis4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D1DD5" w:rsidTr="00E27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D1DD5" w:rsidRDefault="005D1DD5" w:rsidP="005D1DD5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DIMENSIONES</w:t>
            </w:r>
          </w:p>
        </w:tc>
        <w:tc>
          <w:tcPr>
            <w:tcW w:w="4489" w:type="dxa"/>
          </w:tcPr>
          <w:p w:rsidR="005D1DD5" w:rsidRDefault="005D1DD5" w:rsidP="005D1D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INFLUENCIA COMUNIDAD-ESCUELA</w:t>
            </w:r>
          </w:p>
        </w:tc>
      </w:tr>
      <w:tr w:rsidR="005D1DD5" w:rsidTr="00E35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D1DD5" w:rsidRDefault="005D1DD5" w:rsidP="005D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</w:t>
            </w:r>
          </w:p>
          <w:p w:rsidR="00E35A80" w:rsidRPr="00E35A80" w:rsidRDefault="00E35A80" w:rsidP="00E35A80">
            <w:pPr>
              <w:spacing w:line="276" w:lineRule="auto"/>
              <w:jc w:val="both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E35A80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Al tratarse de un jardín no religioso, pude notar que se pretendía ubicar la realidad mexicana, ya que no se implementaban actividades de tipo extranjero </w:t>
            </w:r>
            <w:r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y reforzaban las regionales.</w:t>
            </w:r>
          </w:p>
        </w:tc>
        <w:tc>
          <w:tcPr>
            <w:tcW w:w="4489" w:type="dxa"/>
          </w:tcPr>
          <w:p w:rsidR="005D1DD5" w:rsidRDefault="005D1DD5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MODO DE VIDA, LEGADO, TEORÍA ANTROPOLOGICA</w:t>
            </w:r>
          </w:p>
          <w:p w:rsidR="005D1DD5" w:rsidRDefault="005D1DD5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D1DD5" w:rsidRPr="00F1172E" w:rsidRDefault="00F1172E" w:rsidP="00F1172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Con los pa</w:t>
            </w:r>
            <w:r w:rsidRPr="00F1172E">
              <w:rPr>
                <w:rFonts w:ascii="Century Gothic" w:hAnsi="Century Gothic"/>
                <w:bCs/>
                <w:sz w:val="24"/>
                <w:szCs w:val="24"/>
              </w:rPr>
              <w:t>d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r</w:t>
            </w:r>
            <w:r w:rsidRPr="00F1172E">
              <w:rPr>
                <w:rFonts w:ascii="Century Gothic" w:hAnsi="Century Gothic"/>
                <w:bCs/>
                <w:sz w:val="24"/>
                <w:szCs w:val="24"/>
              </w:rPr>
              <w:t>es mostraba cierta actitud respetuosa, de cariño hacia los niños y el medio ambiente y establecía comunicación con los vecinos y sus alrededores.</w:t>
            </w:r>
          </w:p>
          <w:p w:rsidR="005D1DD5" w:rsidRDefault="005D1DD5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D1DD5" w:rsidRDefault="005D1DD5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D1DD5" w:rsidTr="000A7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D1DD5" w:rsidRDefault="005D1DD5" w:rsidP="005D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VALORAL</w:t>
            </w:r>
          </w:p>
          <w:p w:rsidR="000A7A87" w:rsidRDefault="00E35A80" w:rsidP="00E35A80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5A80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Dentro de la institución la práctica valorar era muy notoria ya que se difundía el respeto, la comprensión y se tomaba en cuenta la participación de los padres de familia, alumnos, vecinos y docentes en actividades escolares.</w:t>
            </w:r>
          </w:p>
          <w:p w:rsidR="00E35A80" w:rsidRPr="000A7A87" w:rsidRDefault="00E35A80" w:rsidP="000A7A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9" w:type="dxa"/>
          </w:tcPr>
          <w:p w:rsidR="005D1DD5" w:rsidRDefault="005D1DD5" w:rsidP="005D1D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CONDUCTA</w:t>
            </w:r>
          </w:p>
          <w:p w:rsidR="005D1DD5" w:rsidRPr="000A7A87" w:rsidRDefault="00F1172E" w:rsidP="000A7A87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  <w:sz w:val="24"/>
                <w:szCs w:val="24"/>
              </w:rPr>
            </w:pPr>
            <w:r w:rsidRPr="00F1172E">
              <w:rPr>
                <w:rFonts w:ascii="Century Gothic" w:hAnsi="Century Gothic"/>
                <w:bCs/>
                <w:sz w:val="24"/>
                <w:szCs w:val="24"/>
              </w:rPr>
              <w:t>Atención hacia los alumnos y padres de familia, se respetaba el tiempo de cada niño para hablar y favorecía otros valores para favorecer la conducta dentro y fuera del aula</w:t>
            </w:r>
            <w:r w:rsidR="000A7A87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</w:tc>
      </w:tr>
      <w:tr w:rsidR="005D1DD5" w:rsidTr="00E27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D1DD5" w:rsidRDefault="005D1DD5" w:rsidP="005D1DD5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  <w:p w:rsidR="007D2326" w:rsidRPr="00E35A80" w:rsidRDefault="00E35A80" w:rsidP="00E35A80">
            <w:pPr>
              <w:spacing w:line="276" w:lineRule="auto"/>
              <w:jc w:val="both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E35A80">
              <w:rPr>
                <w:rFonts w:ascii="Century Gothic" w:hAnsi="Century Gothic"/>
                <w:b w:val="0"/>
                <w:sz w:val="24"/>
                <w:szCs w:val="24"/>
              </w:rPr>
              <w:t xml:space="preserve">Creo que al tratarse de una educadora tradicionalista no se pretendía llevar elevar un poco más el conocimiento de los alumnos conformándose </w:t>
            </w:r>
            <w:r>
              <w:rPr>
                <w:rFonts w:ascii="Century Gothic" w:hAnsi="Century Gothic"/>
                <w:b w:val="0"/>
                <w:sz w:val="24"/>
                <w:szCs w:val="24"/>
              </w:rPr>
              <w:t xml:space="preserve">con lo ya </w:t>
            </w:r>
            <w:r>
              <w:rPr>
                <w:rFonts w:ascii="Century Gothic" w:hAnsi="Century Gothic"/>
                <w:b w:val="0"/>
                <w:sz w:val="24"/>
                <w:szCs w:val="24"/>
              </w:rPr>
              <w:lastRenderedPageBreak/>
              <w:t>adquirido, no se buscaban nuevas técnicas ni el uso de materiales no cotidianos para innovar en la práctica diaria.</w:t>
            </w:r>
          </w:p>
          <w:p w:rsidR="007D2326" w:rsidRDefault="007D2326" w:rsidP="005D1DD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489" w:type="dxa"/>
          </w:tcPr>
          <w:p w:rsidR="005D1DD5" w:rsidRDefault="005D1DD5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MANERA DE PENSAR, SENTIR, CREER</w:t>
            </w:r>
          </w:p>
          <w:p w:rsidR="007D2326" w:rsidRDefault="007D2326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D1DD5" w:rsidTr="00E27A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D1DD5" w:rsidRDefault="007D2326" w:rsidP="005D1DD5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INTERPERSONAL</w:t>
            </w:r>
          </w:p>
          <w:p w:rsidR="00E27AEE" w:rsidRPr="00E27AEE" w:rsidRDefault="00E27AEE" w:rsidP="00E27AEE">
            <w:pPr>
              <w:spacing w:line="276" w:lineRule="auto"/>
              <w:jc w:val="both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E27AEE">
              <w:rPr>
                <w:rFonts w:ascii="Century Gothic" w:hAnsi="Century Gothic"/>
                <w:b w:val="0"/>
                <w:sz w:val="24"/>
                <w:szCs w:val="24"/>
              </w:rPr>
              <w:t>Se pudo observar que en cuestiones de trabajo colaborativo por parte de mi educadora, no era muy favorecido ya que pretendía ser una educadora autónoma, entando en un tra</w:t>
            </w:r>
            <w:r w:rsidR="00E35A80">
              <w:rPr>
                <w:rFonts w:ascii="Century Gothic" w:hAnsi="Century Gothic"/>
                <w:b w:val="0"/>
                <w:sz w:val="24"/>
                <w:szCs w:val="24"/>
              </w:rPr>
              <w:t>bajo un poco má</w:t>
            </w:r>
            <w:r w:rsidRPr="00E27AEE">
              <w:rPr>
                <w:rFonts w:ascii="Century Gothic" w:hAnsi="Century Gothic"/>
                <w:b w:val="0"/>
                <w:sz w:val="24"/>
                <w:szCs w:val="24"/>
              </w:rPr>
              <w:t>s individualista sin incorporar las demás articulaciones (Padres, demás personal) para la mejora de la calidad de la educación y un favorable ambiente de trabajo.</w:t>
            </w:r>
          </w:p>
        </w:tc>
        <w:tc>
          <w:tcPr>
            <w:tcW w:w="4489" w:type="dxa"/>
          </w:tcPr>
          <w:p w:rsidR="005D1DD5" w:rsidRDefault="007D2326" w:rsidP="005D1D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CONDUCTA APRENDIDA, TÉCNICAS DE ADAPTACIÓN</w:t>
            </w:r>
          </w:p>
          <w:p w:rsidR="007D2326" w:rsidRDefault="007D2326" w:rsidP="005D1D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D2326" w:rsidRDefault="007D2326" w:rsidP="005D1D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07F08" w:rsidTr="0040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07F08" w:rsidRDefault="00407F08" w:rsidP="00A30355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INSTITUCIONAL</w:t>
            </w:r>
          </w:p>
          <w:p w:rsidR="00407F08" w:rsidRDefault="00407F08" w:rsidP="00A30355">
            <w:pPr>
              <w:rPr>
                <w:b w:val="0"/>
                <w:sz w:val="24"/>
                <w:szCs w:val="24"/>
              </w:rPr>
            </w:pPr>
          </w:p>
          <w:p w:rsidR="00407F08" w:rsidRPr="00407F08" w:rsidRDefault="00407F08" w:rsidP="00407F0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407F08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Educadoras</w:t>
            </w:r>
          </w:p>
          <w:p w:rsidR="00407F08" w:rsidRPr="00407F08" w:rsidRDefault="00407F08" w:rsidP="00407F0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407F08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Maestros de clases especiales (USAER, Inglés, Ed. Física, artes, </w:t>
            </w:r>
            <w:proofErr w:type="spellStart"/>
            <w:r w:rsidRPr="00407F08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etc</w:t>
            </w:r>
            <w:proofErr w:type="spellEnd"/>
            <w:r w:rsidRPr="00407F08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)</w:t>
            </w:r>
          </w:p>
          <w:p w:rsidR="00407F08" w:rsidRPr="00407F08" w:rsidRDefault="00407F08" w:rsidP="00407F0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407F08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Directivos</w:t>
            </w:r>
          </w:p>
          <w:p w:rsidR="00407F08" w:rsidRPr="00407F08" w:rsidRDefault="00407F08" w:rsidP="00407F0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407F08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Personal de apoyo.</w:t>
            </w:r>
          </w:p>
          <w:p w:rsidR="00407F08" w:rsidRDefault="00407F08" w:rsidP="00A3035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489" w:type="dxa"/>
          </w:tcPr>
          <w:p w:rsidR="00407F08" w:rsidRDefault="00407F08" w:rsidP="00A3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REGULACIÓN NORMATIVA</w:t>
            </w:r>
          </w:p>
          <w:p w:rsidR="00407F08" w:rsidRDefault="00407F08" w:rsidP="00A3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07F08" w:rsidRDefault="00407F08" w:rsidP="00A3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07F08" w:rsidRDefault="00407F08" w:rsidP="00A3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07F08" w:rsidRDefault="00407F08" w:rsidP="00A3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07F08" w:rsidRDefault="00407F08" w:rsidP="00A3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07F08" w:rsidRDefault="00407F08" w:rsidP="00A3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07F08" w:rsidRDefault="00407F08" w:rsidP="00A3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07F08" w:rsidRDefault="00407F08" w:rsidP="00A3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07F08" w:rsidRDefault="00407F08" w:rsidP="00A3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07F08" w:rsidRDefault="00407F08" w:rsidP="00A3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07F08" w:rsidRDefault="00407F08" w:rsidP="00A3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07F08" w:rsidTr="00407F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07F08" w:rsidRDefault="00407F08" w:rsidP="00A30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DIDACTICA</w:t>
            </w:r>
          </w:p>
          <w:p w:rsidR="00407F08" w:rsidRDefault="000A7A87" w:rsidP="000A7A8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0A7A87">
              <w:rPr>
                <w:rFonts w:ascii="Century Gothic" w:hAnsi="Century Gothic"/>
                <w:b w:val="0"/>
                <w:sz w:val="24"/>
                <w:szCs w:val="24"/>
              </w:rPr>
              <w:t>El método de enseñanza no se daba por método innovador perdiendo el interés del grupo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407F08" w:rsidRDefault="00407F08" w:rsidP="00A303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 ALMACENADO</w:t>
            </w:r>
          </w:p>
          <w:p w:rsidR="00407F08" w:rsidRPr="000A7A87" w:rsidRDefault="000A7A87" w:rsidP="000A7A87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  <w:sz w:val="24"/>
                <w:szCs w:val="24"/>
              </w:rPr>
            </w:pPr>
            <w:r w:rsidRPr="000A7A87">
              <w:rPr>
                <w:rFonts w:ascii="Century Gothic" w:hAnsi="Century Gothic"/>
                <w:bCs/>
                <w:sz w:val="24"/>
                <w:szCs w:val="24"/>
              </w:rPr>
              <w:t>Utilizaba material con el que ya se contaba o de uso cotidiano para favorecer las actividades.</w:t>
            </w:r>
          </w:p>
          <w:p w:rsidR="00407F08" w:rsidRPr="000A7A87" w:rsidRDefault="00407F08" w:rsidP="000A7A87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407F08" w:rsidRDefault="00407F08" w:rsidP="00A303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07F08" w:rsidRDefault="00407F08" w:rsidP="00A303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07F08" w:rsidRDefault="00407F08" w:rsidP="00A303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07F08" w:rsidRDefault="00407F08" w:rsidP="00A303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07F08" w:rsidRDefault="00407F08" w:rsidP="00A303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5D1DD5" w:rsidRPr="005D1DD5" w:rsidRDefault="005D1DD5" w:rsidP="005D1DD5">
      <w:pPr>
        <w:rPr>
          <w:b/>
          <w:sz w:val="24"/>
          <w:szCs w:val="24"/>
        </w:rPr>
      </w:pPr>
    </w:p>
    <w:sectPr w:rsidR="005D1DD5" w:rsidRPr="005D1D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35247"/>
    <w:multiLevelType w:val="hybridMultilevel"/>
    <w:tmpl w:val="C2A83D86"/>
    <w:lvl w:ilvl="0" w:tplc="C0A615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D5"/>
    <w:rsid w:val="000A7A87"/>
    <w:rsid w:val="00124CB0"/>
    <w:rsid w:val="001C1748"/>
    <w:rsid w:val="00407F08"/>
    <w:rsid w:val="005D1DD5"/>
    <w:rsid w:val="006148CE"/>
    <w:rsid w:val="007D2326"/>
    <w:rsid w:val="00E27AEE"/>
    <w:rsid w:val="00E35A80"/>
    <w:rsid w:val="00F1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1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E27A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-nfasis4">
    <w:name w:val="Light Grid Accent 4"/>
    <w:basedOn w:val="Tablanormal"/>
    <w:uiPriority w:val="62"/>
    <w:rsid w:val="00E27A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1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E27A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-nfasis4">
    <w:name w:val="Light Grid Accent 4"/>
    <w:basedOn w:val="Tablanormal"/>
    <w:uiPriority w:val="62"/>
    <w:rsid w:val="00E27A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Guevara</dc:creator>
  <cp:lastModifiedBy>WIndows 7</cp:lastModifiedBy>
  <cp:revision>2</cp:revision>
  <dcterms:created xsi:type="dcterms:W3CDTF">2015-03-19T05:41:00Z</dcterms:created>
  <dcterms:modified xsi:type="dcterms:W3CDTF">2015-03-19T05:41:00Z</dcterms:modified>
</cp:coreProperties>
</file>