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7C" w:rsidRPr="008C4019" w:rsidRDefault="00EE1137" w:rsidP="00567064">
      <w:pPr>
        <w:spacing w:after="0" w:line="240" w:lineRule="auto"/>
        <w:jc w:val="center"/>
        <w:rPr>
          <w:sz w:val="28"/>
        </w:rPr>
      </w:pPr>
      <w:r w:rsidRPr="008C4019">
        <w:rPr>
          <w:sz w:val="28"/>
        </w:rPr>
        <w:t>Escuela Normal de Educación Preescolar</w:t>
      </w:r>
      <w:bookmarkStart w:id="0" w:name="_GoBack"/>
      <w:bookmarkEnd w:id="0"/>
    </w:p>
    <w:p w:rsidR="00EE1137" w:rsidRPr="008C4019" w:rsidRDefault="00EE1137" w:rsidP="00567064">
      <w:pPr>
        <w:spacing w:after="0" w:line="240" w:lineRule="auto"/>
        <w:jc w:val="center"/>
        <w:rPr>
          <w:u w:val="single"/>
        </w:rPr>
      </w:pPr>
      <w:r w:rsidRPr="008C4019">
        <w:rPr>
          <w:u w:val="single"/>
        </w:rPr>
        <w:t>Observación y Análisis de la Práctica</w:t>
      </w:r>
    </w:p>
    <w:p w:rsidR="00EE1137" w:rsidRDefault="00EE1137" w:rsidP="005670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Responder a preguntas para el análisis. ¿Qué es lo que se puede aprender por medio de la observación?, ¿De qué manera la observación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conv</w:t>
      </w:r>
      <w:r>
        <w:rPr>
          <w:rFonts w:ascii="Arial" w:hAnsi="Arial" w:cs="Arial"/>
        </w:rPr>
        <w:t>ierte en una técnica para el conoc</w:t>
      </w:r>
      <w:r>
        <w:rPr>
          <w:rFonts w:ascii="Arial" w:hAnsi="Arial" w:cs="Arial"/>
        </w:rPr>
        <w:t>imiento de las prácticas sociales y humanas</w:t>
      </w:r>
      <w:proofErr w:type="gramStart"/>
      <w:r>
        <w:rPr>
          <w:rFonts w:ascii="Arial" w:hAnsi="Arial" w:cs="Arial"/>
        </w:rPr>
        <w:t>?</w:t>
      </w:r>
      <w:r>
        <w:rPr>
          <w:rFonts w:ascii="Arial" w:hAnsi="Arial" w:cs="Arial"/>
        </w:rPr>
        <w:t>.</w:t>
      </w:r>
      <w:proofErr w:type="gramEnd"/>
    </w:p>
    <w:p w:rsidR="00EE1137" w:rsidRDefault="00EE1137" w:rsidP="005670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tu cuaderno elabora un cuadro de doble entrada de la siguiente forma</w:t>
      </w:r>
      <w:r w:rsidR="00D13C1D" w:rsidRPr="00D13C1D">
        <w:rPr>
          <w:rFonts w:ascii="Arial" w:hAnsi="Arial" w:cs="Arial"/>
        </w:rPr>
        <w:t xml:space="preserve"> </w:t>
      </w:r>
      <w:r w:rsidR="00D13C1D">
        <w:rPr>
          <w:rFonts w:ascii="Arial" w:hAnsi="Arial" w:cs="Arial"/>
        </w:rPr>
        <w:t xml:space="preserve"> de las lecturas analizadas, relacionar  los  videos y experiencias previas de observación.</w:t>
      </w:r>
      <w:r w:rsidR="00DE44A2">
        <w:rPr>
          <w:rFonts w:ascii="Arial" w:hAnsi="Arial" w:cs="Arial"/>
        </w:rPr>
        <w:t xml:space="preserve"> Se deben de llenar los aspectos que se cumplan en la observación de los videos, en el apartado de experiencias tomar la que realizamos de la película de NEMO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31"/>
        <w:gridCol w:w="1753"/>
        <w:gridCol w:w="1891"/>
        <w:gridCol w:w="2527"/>
        <w:gridCol w:w="1492"/>
        <w:gridCol w:w="1492"/>
        <w:gridCol w:w="1486"/>
      </w:tblGrid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Puntos importantes de los autores / Observaciones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la mancha de grasa </w:t>
            </w: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Carta de un alumno a su maestro </w:t>
            </w: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Experiencias </w:t>
            </w: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observador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Acceso de los observadores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escenario público o </w:t>
            </w:r>
            <w:proofErr w:type="spellStart"/>
            <w:r>
              <w:rPr>
                <w:rFonts w:ascii="Arial" w:hAnsi="Arial" w:cs="Arial"/>
              </w:rPr>
              <w:t>casipúblico</w:t>
            </w:r>
            <w:proofErr w:type="spellEnd"/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de lenguaje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Notas de campo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Técnicas que permiten recordar </w:t>
            </w:r>
            <w:r w:rsidRPr="008059D6">
              <w:rPr>
                <w:rFonts w:ascii="Arial" w:hAnsi="Arial" w:cs="Arial"/>
              </w:rPr>
              <w:t>acontecimientos al momento de la observación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 w:rsidRPr="008059D6">
              <w:rPr>
                <w:rFonts w:ascii="Arial" w:hAnsi="Arial" w:cs="Arial"/>
              </w:rPr>
              <w:t>Grabación y toma de notas en el campo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Default="00567064" w:rsidP="00D13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Formas de las notas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Descripciones de escenarios y actividades.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Descripción de personas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</w:rPr>
              <w:t>¿Qué se les dice a porteros e informantes?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</w:rPr>
              <w:t>Recolección de Datos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lang w:val="es-ES"/>
              </w:rPr>
              <w:t xml:space="preserve">Cual tácticas de campo se puso en práctica 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lang w:val="es-ES"/>
              </w:rPr>
              <w:t>Formulando preguntas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</w:rPr>
              <w:t xml:space="preserve">El establecimiento del </w:t>
            </w:r>
            <w:proofErr w:type="spellStart"/>
            <w:r w:rsidRPr="00D13C1D">
              <w:rPr>
                <w:rFonts w:ascii="Arial" w:hAnsi="Arial" w:cs="Arial"/>
              </w:rPr>
              <w:t>Rapport</w:t>
            </w:r>
            <w:proofErr w:type="spellEnd"/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Registro de detalles accesorios del dialogo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Los límites de un estudio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Retirada del campo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  <w:tr w:rsidR="00567064" w:rsidTr="00567064">
        <w:tc>
          <w:tcPr>
            <w:tcW w:w="1219" w:type="pct"/>
          </w:tcPr>
          <w:p w:rsidR="00567064" w:rsidRPr="00D13C1D" w:rsidRDefault="00567064" w:rsidP="00D13C1D">
            <w:pPr>
              <w:jc w:val="both"/>
              <w:rPr>
                <w:rFonts w:ascii="Arial" w:hAnsi="Arial" w:cs="Arial"/>
              </w:rPr>
            </w:pPr>
            <w:r w:rsidRPr="00D13C1D">
              <w:rPr>
                <w:rFonts w:ascii="Arial" w:hAnsi="Arial" w:cs="Arial"/>
                <w:bCs/>
              </w:rPr>
              <w:t>La ética en el campo</w:t>
            </w:r>
          </w:p>
        </w:tc>
        <w:tc>
          <w:tcPr>
            <w:tcW w:w="623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" w:type="pct"/>
          </w:tcPr>
          <w:p w:rsidR="00567064" w:rsidRDefault="00567064" w:rsidP="00EE1137">
            <w:pPr>
              <w:jc w:val="both"/>
              <w:rPr>
                <w:rFonts w:ascii="Arial" w:hAnsi="Arial" w:cs="Arial"/>
              </w:rPr>
            </w:pPr>
          </w:p>
        </w:tc>
      </w:tr>
    </w:tbl>
    <w:p w:rsidR="00EE1137" w:rsidRDefault="00EE1137" w:rsidP="00EE1137"/>
    <w:sectPr w:rsidR="00EE1137" w:rsidSect="00567064">
      <w:pgSz w:w="15840" w:h="12240" w:orient="landscape"/>
      <w:pgMar w:top="568" w:right="56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37"/>
    <w:rsid w:val="00386A62"/>
    <w:rsid w:val="00567064"/>
    <w:rsid w:val="006C217C"/>
    <w:rsid w:val="008059D6"/>
    <w:rsid w:val="008A6716"/>
    <w:rsid w:val="008C4019"/>
    <w:rsid w:val="00D13C1D"/>
    <w:rsid w:val="00DE44A2"/>
    <w:rsid w:val="00E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2012-09-13T16:23:00Z</dcterms:created>
  <dcterms:modified xsi:type="dcterms:W3CDTF">2012-09-13T17:04:00Z</dcterms:modified>
</cp:coreProperties>
</file>