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vuq4nq2jv33" w:id="0"/>
      <w:bookmarkEnd w:id="0"/>
      <w:r w:rsidDel="00000000" w:rsidR="00000000" w:rsidRPr="00000000">
        <w:rPr>
          <w:rFonts w:ascii="Gloria Hallelujah" w:cs="Gloria Hallelujah" w:eastAsia="Gloria Hallelujah" w:hAnsi="Gloria Hallelujah"/>
          <w:b w:val="1"/>
          <w:sz w:val="48"/>
          <w:szCs w:val="48"/>
          <w:rtl w:val="0"/>
        </w:rPr>
        <w:t xml:space="preserve">Escuela Normal de Educación Preescolar</w:t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kxtpya2q6xjj" w:id="1"/>
      <w:bookmarkEnd w:id="1"/>
      <w:r w:rsidDel="00000000" w:rsidR="00000000" w:rsidRPr="00000000">
        <w:drawing>
          <wp:inline distB="114300" distT="114300" distL="114300" distR="114300">
            <wp:extent cx="1857375" cy="13811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qobahq4rtzct" w:id="2"/>
      <w:bookmarkEnd w:id="2"/>
      <w:r w:rsidDel="00000000" w:rsidR="00000000" w:rsidRPr="00000000">
        <w:rPr>
          <w:rFonts w:ascii="Gloria Hallelujah" w:cs="Gloria Hallelujah" w:eastAsia="Gloria Hallelujah" w:hAnsi="Gloria Hallelujah"/>
          <w:b w:val="1"/>
          <w:sz w:val="48"/>
          <w:szCs w:val="48"/>
          <w:rtl w:val="0"/>
        </w:rPr>
        <w:t xml:space="preserve">3° “C”</w:t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6w40qyaynzir" w:id="3"/>
      <w:bookmarkEnd w:id="3"/>
      <w:r w:rsidDel="00000000" w:rsidR="00000000" w:rsidRPr="00000000">
        <w:rPr>
          <w:rFonts w:ascii="Syncopate" w:cs="Syncopate" w:eastAsia="Syncopate" w:hAnsi="Syncopate"/>
          <w:b w:val="1"/>
          <w:sz w:val="48"/>
          <w:szCs w:val="48"/>
          <w:rtl w:val="0"/>
        </w:rPr>
        <w:t xml:space="preserve">Herramientas basicas de investigacion educativa.</w:t>
      </w:r>
    </w:p>
    <w:p w:rsidR="00000000" w:rsidDel="00000000" w:rsidP="00000000" w:rsidRDefault="00000000" w:rsidRPr="00000000">
      <w:pPr>
        <w:contextualSpacing w:val="0"/>
        <w:jc w:val="both"/>
      </w:pPr>
      <w:bookmarkStart w:colFirst="0" w:colLast="0" w:name="h.bpg2jau5j4w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bookmarkStart w:colFirst="0" w:colLast="0" w:name="h.nl4qjn19nsb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jg15xkefepb0" w:id="6"/>
      <w:bookmarkEnd w:id="6"/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Equipo:</w:t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39a2utfd0j6e" w:id="7"/>
      <w:bookmarkEnd w:id="7"/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Daniela Valdez Flores</w:t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j87x4k8hhjs3" w:id="8"/>
      <w:bookmarkEnd w:id="8"/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Valeria Rodriguez</w:t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swt2cdqxg1w5" w:id="9"/>
      <w:bookmarkEnd w:id="9"/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Korina Lugo</w:t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96dpy2f4qir0" w:id="10"/>
      <w:bookmarkEnd w:id="10"/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Nallely Perez Zavala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  <w:jc w:val="both"/>
      </w:pPr>
      <w:bookmarkStart w:colFirst="0" w:colLast="0" w:name="h.n8i6gjtwm0ao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bookmarkStart w:colFirst="0" w:colLast="0" w:name="h.gjdgxs" w:id="12"/>
      <w:bookmarkEnd w:id="12"/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1-  ¿Qué debe incluir el planteamiento del problema?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Formulación del problema a investigar, requiere un respaldo teórico y práctico.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2-  ¿Cómo debe diseñarse la justificación del trabajo de investigación?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Exposición de razones teóricas y prácticas de la elección del problema. Se detalla la alternativa de solución al problema de investigación, y se explica claramente cómo el proyecto contribuye a modificar dicho problema.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3-  ¿Cómo debe ir definido el objetivo general y específico?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El objetivo general Indica la meta o finalidad que persigue la investigación, la meta que se pretende alcanzar.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El objetivo específico indica lo que se hará en el estudio, donde y con qué fin. (Información muy detallada o concreta).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b w:val="1"/>
          <w:rtl w:val="0"/>
        </w:rPr>
        <w:t xml:space="preserve">4-  ¿Cómo debe ir delimitado el título del trabajo de investigación?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Debe indicar en  forma precisa cual es el objeto o fenómeno de estudio evitando las ambigüedades, con el menor número de palabras, breve pero claro, respondiendo a los cuestionamientos que, a quien, cuando y donde.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5-  Investiga los tipos de estudio </w:t>
      </w:r>
    </w:p>
    <w:p w:rsidR="00000000" w:rsidDel="00000000" w:rsidP="00000000" w:rsidRDefault="00000000" w:rsidRPr="00000000">
      <w:pPr>
        <w:pStyle w:val="Heading3"/>
        <w:keepNext w:val="0"/>
        <w:keepLines w:val="0"/>
        <w:numPr>
          <w:ilvl w:val="0"/>
          <w:numId w:val="6"/>
        </w:numPr>
        <w:spacing w:after="80" w:before="280" w:line="360" w:lineRule="auto"/>
        <w:ind w:left="720" w:hanging="360"/>
        <w:contextualSpacing w:val="1"/>
        <w:jc w:val="both"/>
        <w:rPr>
          <w:rFonts w:ascii="Coming Soon" w:cs="Coming Soon" w:eastAsia="Coming Soon" w:hAnsi="Coming Soon"/>
          <w:b w:val="0"/>
          <w:color w:val="0b5394"/>
          <w:sz w:val="24"/>
          <w:szCs w:val="24"/>
          <w:highlight w:val="white"/>
        </w:rPr>
      </w:pPr>
      <w:bookmarkStart w:colFirst="0" w:colLast="0" w:name="h.hdzf4we975l" w:id="13"/>
      <w:bookmarkEnd w:id="13"/>
      <w:r w:rsidDel="00000000" w:rsidR="00000000" w:rsidRPr="00000000">
        <w:rPr>
          <w:rFonts w:ascii="Coming Soon" w:cs="Coming Soon" w:eastAsia="Coming Soon" w:hAnsi="Coming Soon"/>
          <w:b w:val="0"/>
          <w:color w:val="0b5394"/>
          <w:sz w:val="24"/>
          <w:szCs w:val="24"/>
          <w:highlight w:val="white"/>
          <w:rtl w:val="0"/>
        </w:rPr>
        <w:t xml:space="preserve">Estudios exploratorios o formulativos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Estudios descriptivos.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Estudios explicativos.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Estudios correlacionales.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Estudios experimentales.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Estudios no experimentales.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Estudios analiticos.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6-  ¿Cómo debe seleccionarse el tamaño de la muestra de estudio?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A cuantas personas vamos a realizar el estudio, la aplicación de algunas fórmulas específicas para cada grado de diseño en las cuales vamos a decir cuales es el grado de error alfa y beta que se está dispuesto a soportar.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7-  Procedimientos para la recolección de información e instrumentos.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  <w:u w:val="none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Tiempo 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  <w:u w:val="none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Recursos 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  <w:u w:val="none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Proceso 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Preparación de los encuestadores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Recolección de datos 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análisis de datos 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  <w:u w:val="none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Capacitación 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0b5394"/>
          <w:sz w:val="24"/>
          <w:szCs w:val="24"/>
          <w:u w:val="none"/>
        </w:rPr>
      </w:pPr>
      <w:r w:rsidDel="00000000" w:rsidR="00000000" w:rsidRPr="00000000">
        <w:rPr>
          <w:rFonts w:ascii="Coming Soon" w:cs="Coming Soon" w:eastAsia="Coming Soon" w:hAnsi="Coming Soon"/>
          <w:color w:val="0b5394"/>
          <w:sz w:val="24"/>
          <w:szCs w:val="24"/>
          <w:rtl w:val="0"/>
        </w:rPr>
        <w:t xml:space="preserve">Supervisión y coordinación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rtl w:val="0"/>
        </w:rPr>
        <w:t xml:space="preserve">8- Métodos y modelos de análisis de los datos según las variables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rtl w:val="0"/>
        </w:rPr>
        <w:t xml:space="preserve">El investigador debe detallar las medidas de sus variables y cómo serán presentadas (cualitativas y/o cuantitativas).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rtl w:val="0"/>
        </w:rPr>
        <w:t xml:space="preserve">Indicando los modelos y técnicas de análisis (estadísticas, no estadísticas o técnicas de análisis de información no numérica, etc.).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1c4587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rtl w:val="0"/>
        </w:rPr>
        <w:t xml:space="preserve">Cualitativos: en las que los datos son presentados de manera verbal (o gráfica) - como los textos de entrevistas, las notas, los documentos…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1c4587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rtl w:val="0"/>
        </w:rPr>
        <w:t xml:space="preserve">Cuantitativos: en las que los datos se presentan en forma numérica.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1c4587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rtl w:val="0"/>
        </w:rPr>
        <w:t xml:space="preserve">Método científico: </w:t>
      </w: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highlight w:val="white"/>
          <w:rtl w:val="0"/>
        </w:rPr>
        <w:t xml:space="preserve">es el procedimiento riguroso, formulado de una manera lógica, que el investigador debe seguir en la adquisición del conocimiento.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rFonts w:ascii="Coming Soon" w:cs="Coming Soon" w:eastAsia="Coming Soon" w:hAnsi="Coming Soon"/>
          <w:color w:val="1c4587"/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rtl w:val="0"/>
        </w:rPr>
        <w:t xml:space="preserve">La observación: </w:t>
      </w: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highlight w:val="white"/>
          <w:rtl w:val="0"/>
        </w:rPr>
        <w:t xml:space="preserve">procedimiento importante en la investigación científica.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b w:val="1"/>
          <w:sz w:val="24"/>
          <w:szCs w:val="24"/>
          <w:highlight w:val="white"/>
          <w:rtl w:val="0"/>
        </w:rPr>
        <w:t xml:space="preserve">9- Marco teórico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highlight w:val="white"/>
          <w:rtl w:val="0"/>
        </w:rPr>
        <w:t xml:space="preserve"> El "marco teórico" (o conceptual): Es una de las fases más importantes de un trabajo de investigación, consiste en desarrollar la teoría que va a fundamentar el proyecto con base al planteamiento del problema que se ha realizado.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300" w:line="336" w:lineRule="auto"/>
        <w:ind w:left="720" w:hanging="360"/>
        <w:contextualSpacing w:val="1"/>
        <w:jc w:val="both"/>
        <w:rPr>
          <w:rFonts w:ascii="Coming Soon" w:cs="Coming Soon" w:eastAsia="Coming Soon" w:hAnsi="Coming Soon"/>
          <w:color w:val="1c4587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highlight w:val="white"/>
          <w:rtl w:val="0"/>
        </w:rPr>
        <w:t xml:space="preserve">Se debe desarrollar cuando se identifica una o varias teorías que pueden dar base teórica a la solución del problema de investigación.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300" w:line="336" w:lineRule="auto"/>
        <w:ind w:left="720" w:hanging="360"/>
        <w:contextualSpacing w:val="1"/>
        <w:jc w:val="both"/>
        <w:rPr>
          <w:rFonts w:ascii="Coming Soon" w:cs="Coming Soon" w:eastAsia="Coming Soon" w:hAnsi="Coming Soon"/>
          <w:color w:val="1c4587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highlight w:val="white"/>
          <w:rtl w:val="0"/>
        </w:rPr>
        <w:t xml:space="preserve">El marco teórico será una descripción detallada de cada uno de los elementos esenciales de la teoría, de tal manera que la formulación del problema y su solución sean una deducción lógica de ella.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300" w:line="336" w:lineRule="auto"/>
        <w:ind w:left="720" w:hanging="360"/>
        <w:contextualSpacing w:val="1"/>
        <w:jc w:val="both"/>
        <w:rPr>
          <w:rFonts w:ascii="Coming Soon" w:cs="Coming Soon" w:eastAsia="Coming Soon" w:hAnsi="Coming Soon"/>
          <w:color w:val="1c4587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Coming Soon" w:cs="Coming Soon" w:eastAsia="Coming Soon" w:hAnsi="Coming Soon"/>
          <w:color w:val="1c4587"/>
          <w:sz w:val="24"/>
          <w:szCs w:val="24"/>
          <w:highlight w:val="white"/>
          <w:rtl w:val="0"/>
        </w:rPr>
        <w:t xml:space="preserve">Este marco también puede estar constituido por una teoría específica creada por el investigador.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Gloria Hallelujah">
    <w:embedRegular r:id="rId1" w:subsetted="0"/>
  </w:font>
  <w:font w:name="Coming Soon">
    <w:embedRegular r:id="rId2" w:subsetted="0"/>
  </w:font>
  <w:font w:name="Syncopate">
    <w:embedRegular r:id="rId3" w:subsetted="0"/>
    <w:embedBold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loriaHallelujah-regular.ttf"/><Relationship Id="rId2" Type="http://schemas.openxmlformats.org/officeDocument/2006/relationships/font" Target="fonts/ComingSoon-regular.ttf"/><Relationship Id="rId3" Type="http://schemas.openxmlformats.org/officeDocument/2006/relationships/font" Target="fonts/Syncopate-regular.ttf"/><Relationship Id="rId4" Type="http://schemas.openxmlformats.org/officeDocument/2006/relationships/font" Target="fonts/Syncopate-bold.ttf"/></Relationships>
</file>