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lista3-nfasis4"/>
        <w:tblpPr w:leftFromText="141" w:rightFromText="141" w:vertAnchor="text" w:horzAnchor="margin" w:tblpXSpec="center" w:tblpY="-30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2219"/>
        <w:gridCol w:w="2154"/>
        <w:gridCol w:w="4043"/>
      </w:tblGrid>
      <w:tr w:rsidR="00577391" w:rsidRPr="00C40A1C" w:rsidTr="00F61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4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:rsidR="00152747" w:rsidRPr="00C40A1C" w:rsidRDefault="00C75FAE" w:rsidP="00F618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67241" wp14:editId="38E9E7AD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-403860</wp:posOffset>
                      </wp:positionV>
                      <wp:extent cx="4410075" cy="361950"/>
                      <wp:effectExtent l="0" t="0" r="2857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379A" w:rsidRPr="000B442E" w:rsidRDefault="0088379A" w:rsidP="00C75FAE">
                                  <w:pPr>
                                    <w:rPr>
                                      <w:rFonts w:ascii="Bradley Hand ITC" w:hAnsi="Bradley Hand ITC"/>
                                      <w:b/>
                                      <w:i/>
                                      <w:color w:val="3B3838" w:themeColor="background2" w:themeShade="40"/>
                                      <w:sz w:val="40"/>
                                    </w:rPr>
                                  </w:pPr>
                                  <w:r w:rsidRPr="000B442E">
                                    <w:rPr>
                                      <w:rFonts w:ascii="Bradley Hand ITC" w:hAnsi="Bradley Hand ITC"/>
                                      <w:b/>
                                      <w:i/>
                                      <w:sz w:val="40"/>
                                    </w:rPr>
                                    <w:t xml:space="preserve">Caracterización de la </w:t>
                                  </w:r>
                                  <w:r w:rsidRPr="000B442E">
                                    <w:rPr>
                                      <w:rFonts w:ascii="Bradley Hand ITC" w:hAnsi="Bradley Hand ITC"/>
                                      <w:b/>
                                      <w:i/>
                                      <w:color w:val="3B3838" w:themeColor="background2" w:themeShade="40"/>
                                      <w:sz w:val="40"/>
                                    </w:rPr>
                                    <w:t>profesión docente</w:t>
                                  </w:r>
                                  <w:r w:rsidR="000B442E">
                                    <w:rPr>
                                      <w:rFonts w:ascii="Bradley Hand ITC" w:hAnsi="Bradley Hand ITC"/>
                                      <w:b/>
                                      <w:i/>
                                      <w:color w:val="3B3838" w:themeColor="background2" w:themeShade="40"/>
                                      <w:sz w:val="40"/>
                                    </w:rPr>
                                    <w:t>.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672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88.3pt;margin-top:-31.8pt;width:34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" fillcolor="white [3201]" strokecolor="white [3212]" strokeweight=".5pt">
                      <v:textbox>
                        <w:txbxContent>
                          <w:p w:rsidR="0088379A" w:rsidRPr="000B442E" w:rsidRDefault="0088379A" w:rsidP="00C75FAE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  <w:color w:val="3B3838" w:themeColor="background2" w:themeShade="40"/>
                                <w:sz w:val="40"/>
                              </w:rPr>
                            </w:pPr>
                            <w:r w:rsidRPr="000B442E">
                              <w:rPr>
                                <w:rFonts w:ascii="Bradley Hand ITC" w:hAnsi="Bradley Hand ITC"/>
                                <w:b/>
                                <w:i/>
                                <w:sz w:val="40"/>
                              </w:rPr>
                              <w:t xml:space="preserve">Caracterización de la </w:t>
                            </w:r>
                            <w:r w:rsidRPr="000B442E">
                              <w:rPr>
                                <w:rFonts w:ascii="Bradley Hand ITC" w:hAnsi="Bradley Hand ITC"/>
                                <w:b/>
                                <w:i/>
                                <w:color w:val="3B3838" w:themeColor="background2" w:themeShade="40"/>
                                <w:sz w:val="40"/>
                              </w:rPr>
                              <w:t>profesión docente</w:t>
                            </w:r>
                            <w:r w:rsidR="000B442E">
                              <w:rPr>
                                <w:rFonts w:ascii="Bradley Hand ITC" w:hAnsi="Bradley Hand ITC"/>
                                <w:b/>
                                <w:i/>
                                <w:color w:val="3B3838" w:themeColor="background2" w:themeShade="40"/>
                                <w:sz w:val="40"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9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  <w:vAlign w:val="center"/>
          </w:tcPr>
          <w:p w:rsidR="00152747" w:rsidRPr="00577391" w:rsidRDefault="00152747" w:rsidP="00F618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577391">
              <w:rPr>
                <w:rFonts w:ascii="Arial" w:hAnsi="Arial" w:cs="Arial"/>
                <w:i/>
                <w:color w:val="000000"/>
                <w:sz w:val="24"/>
                <w:szCs w:val="24"/>
              </w:rPr>
              <w:t>COINCIDENCIAS</w:t>
            </w:r>
          </w:p>
        </w:tc>
        <w:tc>
          <w:tcPr>
            <w:tcW w:w="2154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  <w:vAlign w:val="center"/>
          </w:tcPr>
          <w:p w:rsidR="00152747" w:rsidRPr="00577391" w:rsidRDefault="00152747" w:rsidP="00F618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577391">
              <w:rPr>
                <w:rFonts w:ascii="Arial" w:hAnsi="Arial" w:cs="Arial"/>
                <w:i/>
                <w:color w:val="000000"/>
                <w:sz w:val="24"/>
                <w:szCs w:val="24"/>
              </w:rPr>
              <w:t>DIVERGENCIAS</w:t>
            </w:r>
          </w:p>
        </w:tc>
        <w:tc>
          <w:tcPr>
            <w:tcW w:w="4043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  <w:vAlign w:val="center"/>
          </w:tcPr>
          <w:p w:rsidR="00152747" w:rsidRPr="00F61828" w:rsidRDefault="00152747" w:rsidP="00F618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F61828">
              <w:rPr>
                <w:rFonts w:ascii="Arial" w:hAnsi="Arial" w:cs="Arial"/>
                <w:i/>
                <w:color w:val="000000"/>
                <w:sz w:val="24"/>
                <w:szCs w:val="24"/>
              </w:rPr>
              <w:t>PARTICULARIDADES</w:t>
            </w:r>
          </w:p>
        </w:tc>
      </w:tr>
      <w:tr w:rsidR="00C75FAE" w:rsidRPr="00C40A1C" w:rsidTr="00F61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top w:val="single" w:sz="24" w:space="0" w:color="ED7D31" w:themeColor="accent2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Default="00152747" w:rsidP="00F6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C98">
              <w:rPr>
                <w:rFonts w:ascii="Arial" w:hAnsi="Arial" w:cs="Arial"/>
                <w:sz w:val="24"/>
                <w:szCs w:val="24"/>
              </w:rPr>
              <w:t>SEP</w:t>
            </w:r>
          </w:p>
          <w:p w:rsidR="00C75FAE" w:rsidRDefault="00C75FAE" w:rsidP="00F6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(Secretaría de Educación </w:t>
            </w:r>
          </w:p>
          <w:p w:rsidR="00C75FAE" w:rsidRPr="00BA3C98" w:rsidRDefault="00C75FAE" w:rsidP="00F6182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Pública)</w:t>
            </w:r>
          </w:p>
        </w:tc>
        <w:tc>
          <w:tcPr>
            <w:tcW w:w="2219" w:type="dxa"/>
            <w:tcBorders>
              <w:top w:val="single" w:sz="24" w:space="0" w:color="ED7D31" w:themeColor="accent2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Pr="00F61828" w:rsidRDefault="00577391" w:rsidP="00F6182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es-MX"/>
              </w:rPr>
            </w:pPr>
            <w:r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-</w:t>
            </w:r>
            <w:r w:rsidR="00152747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 xml:space="preserve">Mejorar la </w:t>
            </w:r>
            <w:r w:rsidR="00152747" w:rsidRPr="00F61828"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  <w:lang w:eastAsia="es-MX"/>
              </w:rPr>
              <w:t xml:space="preserve">calidad </w:t>
            </w:r>
            <w:r w:rsidR="00152747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de la educación mediante una transformación profunda del sistema educativo nacional</w:t>
            </w:r>
            <w:r w:rsidR="00216E11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.</w:t>
            </w:r>
          </w:p>
          <w:p w:rsidR="00152747" w:rsidRPr="00F61828" w:rsidRDefault="00577391" w:rsidP="00F618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-</w:t>
            </w:r>
            <w:r w:rsidR="00216E11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Respalda la </w:t>
            </w:r>
            <w:r w:rsidR="00216E11" w:rsidRPr="00F61828">
              <w:rPr>
                <w:rFonts w:ascii="Arial" w:hAnsi="Arial" w:cs="Arial"/>
                <w:b/>
                <w:sz w:val="24"/>
                <w:szCs w:val="24"/>
              </w:rPr>
              <w:t>Reforma educativa</w:t>
            </w:r>
            <w:r w:rsidR="00C75FAE" w:rsidRPr="00F6182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24" w:space="0" w:color="ED7D31" w:themeColor="accent2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Pr="00F61828" w:rsidRDefault="00577391" w:rsidP="00F618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-</w:t>
            </w:r>
            <w:r w:rsidR="00DB5F68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Se centra únicamente en el desarrollo e implementación de la educación en el País, enfocándose en los docentes, alumnos, material didáctico, infraestructura, etc.</w:t>
            </w:r>
          </w:p>
        </w:tc>
        <w:tc>
          <w:tcPr>
            <w:tcW w:w="4043" w:type="dxa"/>
            <w:tcBorders>
              <w:top w:val="single" w:sz="24" w:space="0" w:color="ED7D31" w:themeColor="accent2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Pr="00F61828" w:rsidRDefault="00577391" w:rsidP="00F6182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-</w:t>
            </w:r>
            <w:r w:rsidR="00152747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Garantizar que los centros escolares sean lugares dignos, libres de riesgos, que sirvan a su comunidad, que cuenten con la infraestructura y el equipamiento necesarios y la tecnología de vanguardia, apropiados para enseñar y aprender</w:t>
            </w:r>
          </w:p>
          <w:p w:rsidR="00152747" w:rsidRPr="00F61828" w:rsidRDefault="00152747" w:rsidP="00F6182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es-MX"/>
              </w:rPr>
            </w:pPr>
            <w:r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Modernización de centros escolares y bienestar y desarrollo integral delos alumnos</w:t>
            </w:r>
            <w:r w:rsidR="00C75FAE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.</w:t>
            </w:r>
          </w:p>
          <w:p w:rsidR="00152747" w:rsidRPr="00F61828" w:rsidRDefault="00152747" w:rsidP="00F6182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es-MX"/>
              </w:rPr>
            </w:pPr>
          </w:p>
          <w:p w:rsidR="00152747" w:rsidRPr="00F61828" w:rsidRDefault="00152747" w:rsidP="00F618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75FAE" w:rsidRPr="00C40A1C" w:rsidTr="00F61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Default="00152747" w:rsidP="00F6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3C98">
              <w:rPr>
                <w:rFonts w:ascii="Arial" w:hAnsi="Arial" w:cs="Arial"/>
                <w:sz w:val="24"/>
                <w:szCs w:val="24"/>
              </w:rPr>
              <w:t>UNESCO</w:t>
            </w:r>
          </w:p>
          <w:p w:rsidR="00C75FAE" w:rsidRPr="00C75FAE" w:rsidRDefault="00C75FAE" w:rsidP="00F6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C75FAE">
              <w:rPr>
                <w:rFonts w:ascii="Arial" w:hAnsi="Arial" w:cs="Arial"/>
                <w:sz w:val="24"/>
                <w:szCs w:val="24"/>
                <w:lang w:val="es-ES"/>
              </w:rPr>
              <w:t>Organización de las Naciones Unidas para la Educación, la Ciencia y la Cultura)</w:t>
            </w:r>
          </w:p>
        </w:tc>
        <w:tc>
          <w:tcPr>
            <w:tcW w:w="2219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Pr="00F61828" w:rsidRDefault="00577391" w:rsidP="00F61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-</w:t>
            </w:r>
            <w:r w:rsidR="00152747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 xml:space="preserve">Mejorar la </w:t>
            </w:r>
            <w:r w:rsidR="00152747" w:rsidRPr="00F61828"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  <w:lang w:eastAsia="es-MX"/>
              </w:rPr>
              <w:t>calidad</w:t>
            </w:r>
            <w:r w:rsidR="00152747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 xml:space="preserve"> educativa y del servicio ofrecido, así como de sus resultados</w:t>
            </w:r>
            <w:r w:rsidR="00216E11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.</w:t>
            </w:r>
          </w:p>
          <w:p w:rsidR="00216E11" w:rsidRPr="00F61828" w:rsidRDefault="00577391" w:rsidP="00F61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-</w:t>
            </w:r>
            <w:r w:rsidR="00216E11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 xml:space="preserve">Da total apoyo a la </w:t>
            </w:r>
            <w:r w:rsidR="00216E11" w:rsidRPr="00F61828"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  <w:lang w:eastAsia="es-MX"/>
              </w:rPr>
              <w:t>Reforma Educativa</w:t>
            </w:r>
            <w:r w:rsidR="00C75FAE" w:rsidRPr="00F61828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MX"/>
              </w:rPr>
              <w:t>.</w:t>
            </w:r>
          </w:p>
        </w:tc>
        <w:tc>
          <w:tcPr>
            <w:tcW w:w="2154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Pr="00F61828" w:rsidRDefault="00577391" w:rsidP="00F61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-</w:t>
            </w:r>
            <w:r w:rsidR="00DB5F68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De </w:t>
            </w:r>
            <w:r w:rsidR="003B24BA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manera</w:t>
            </w:r>
            <w:r w:rsidR="00DB5F68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general se encarga de tratar asunto</w:t>
            </w:r>
            <w:r w:rsidR="003B24BA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s relacionados con la educación, tales como las formas que esta tiene</w:t>
            </w:r>
            <w:r w:rsidR="00E977F4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; pero también trata más aspectos como la cultura</w:t>
            </w:r>
            <w:r w:rsidR="00C75FAE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4043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152747" w:rsidRPr="00F61828" w:rsidRDefault="00577391" w:rsidP="00F6182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es-MX"/>
              </w:rPr>
            </w:pPr>
            <w:r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-</w:t>
            </w:r>
            <w:r w:rsidR="00152747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Crear reformas educativas a través delas cuales el Estado establece elementos para orientar las políticas de la educación, son el resultado de un proceso complejo en el que intervienen componentes internos y externos a la realidad social y educativa de un país.</w:t>
            </w:r>
          </w:p>
          <w:p w:rsidR="00152747" w:rsidRPr="00F61828" w:rsidRDefault="00152747" w:rsidP="00F6182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Escuela con relevancia, equidad, pertinencia, eficacia y eficiencia.</w:t>
            </w:r>
          </w:p>
          <w:p w:rsidR="003B24BA" w:rsidRPr="00F61828" w:rsidRDefault="00216E11" w:rsidP="00F6182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es-MX"/>
              </w:rPr>
            </w:pPr>
            <w:r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es-MX"/>
              </w:rPr>
              <w:t>Contribuir</w:t>
            </w:r>
            <w:r w:rsidR="003B24BA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es-MX"/>
              </w:rPr>
              <w:t xml:space="preserve"> al mantenimiento de la paz y la seguridad en el mundo promoviendo, a través de la educación</w:t>
            </w:r>
            <w:r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es-MX"/>
              </w:rPr>
              <w:t>.</w:t>
            </w:r>
          </w:p>
          <w:p w:rsidR="00152747" w:rsidRPr="00F61828" w:rsidRDefault="00B20B65" w:rsidP="00F61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Encargada del “Programa internacional sobre la educación, la sensibilización del público y la formación para la viabilidad’; lanzado en 1996 por la Comisión para el desarrollo sostenible de las Naciones Unidas.</w:t>
            </w:r>
          </w:p>
        </w:tc>
      </w:tr>
      <w:tr w:rsidR="00C75FAE" w:rsidRPr="00C40A1C" w:rsidTr="00F61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top w:val="single" w:sz="24" w:space="0" w:color="FFC000"/>
              <w:left w:val="single" w:sz="24" w:space="0" w:color="FFC000"/>
              <w:right w:val="single" w:sz="24" w:space="0" w:color="FFC000"/>
            </w:tcBorders>
            <w:vAlign w:val="center"/>
          </w:tcPr>
          <w:p w:rsidR="00152747" w:rsidRPr="00BA3C98" w:rsidRDefault="00152747" w:rsidP="00F61828">
            <w:pPr>
              <w:shd w:val="clear" w:color="auto" w:fill="FFFFFF"/>
              <w:jc w:val="center"/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BA3C98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</w:rPr>
              <w:t>OCDE</w:t>
            </w:r>
          </w:p>
          <w:p w:rsidR="00152747" w:rsidRPr="00C75FAE" w:rsidRDefault="00C75FAE" w:rsidP="00F6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FAE">
              <w:rPr>
                <w:rFonts w:ascii="Arial" w:hAnsi="Arial" w:cs="Arial"/>
                <w:sz w:val="24"/>
                <w:szCs w:val="24"/>
              </w:rPr>
              <w:t>(</w:t>
            </w:r>
            <w:r w:rsidRPr="00C75FAE">
              <w:rPr>
                <w:rFonts w:ascii="Arial" w:hAnsi="Arial" w:cs="Arial"/>
                <w:sz w:val="24"/>
                <w:szCs w:val="24"/>
                <w:lang w:val="es-ES"/>
              </w:rPr>
              <w:t>Organización para la Cooperación y el Desarrollo Económicos)</w:t>
            </w:r>
          </w:p>
        </w:tc>
        <w:tc>
          <w:tcPr>
            <w:tcW w:w="2219" w:type="dxa"/>
            <w:tcBorders>
              <w:top w:val="single" w:sz="24" w:space="0" w:color="FFC000"/>
              <w:left w:val="single" w:sz="24" w:space="0" w:color="FFC000"/>
              <w:right w:val="single" w:sz="24" w:space="0" w:color="FFC000"/>
            </w:tcBorders>
            <w:vAlign w:val="center"/>
          </w:tcPr>
          <w:p w:rsidR="00152747" w:rsidRPr="00F61828" w:rsidRDefault="00577391" w:rsidP="00F6182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-</w:t>
            </w:r>
            <w:r w:rsidR="00152747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 xml:space="preserve">Elevar la </w:t>
            </w:r>
            <w:r w:rsidR="00152747" w:rsidRPr="00F61828">
              <w:rPr>
                <w:rFonts w:ascii="Arial" w:eastAsia="Times New Roman" w:hAnsi="Arial" w:cs="Arial"/>
                <w:b/>
                <w:sz w:val="24"/>
                <w:szCs w:val="24"/>
                <w:bdr w:val="none" w:sz="0" w:space="0" w:color="auto" w:frame="1"/>
                <w:lang w:eastAsia="es-MX"/>
              </w:rPr>
              <w:t xml:space="preserve">calidad </w:t>
            </w:r>
            <w:r w:rsidR="00152747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de la educación para que los estudiantes mejoren su nivel de logro educativo</w:t>
            </w:r>
            <w:r w:rsidR="00216E11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.</w:t>
            </w:r>
          </w:p>
          <w:p w:rsidR="00152747" w:rsidRPr="00F61828" w:rsidRDefault="00577391" w:rsidP="00F618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-</w:t>
            </w:r>
            <w:r w:rsidR="00216E11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Está de acuerdo con la </w:t>
            </w:r>
            <w:r w:rsidR="00216E11" w:rsidRPr="00F61828">
              <w:rPr>
                <w:rFonts w:ascii="Arial" w:hAnsi="Arial" w:cs="Arial"/>
                <w:b/>
                <w:sz w:val="24"/>
                <w:szCs w:val="24"/>
              </w:rPr>
              <w:t>Reforma Educativa</w:t>
            </w:r>
            <w:r w:rsidR="00C75FAE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single" w:sz="24" w:space="0" w:color="FFC000"/>
              <w:left w:val="single" w:sz="24" w:space="0" w:color="FFC000"/>
              <w:right w:val="single" w:sz="24" w:space="0" w:color="FFC000"/>
            </w:tcBorders>
            <w:vAlign w:val="center"/>
          </w:tcPr>
          <w:p w:rsidR="00152747" w:rsidRPr="00F61828" w:rsidRDefault="00577391" w:rsidP="00F618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-</w:t>
            </w:r>
            <w:r w:rsidR="00DB5F68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Atiende </w:t>
            </w:r>
            <w:r w:rsidR="00973F6F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asuntos</w:t>
            </w:r>
            <w:r w:rsidR="00DB5F68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académicos, sol</w:t>
            </w:r>
            <w:r w:rsidR="00973F6F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o</w:t>
            </w:r>
            <w:r w:rsidR="00DB5F68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 de manera </w:t>
            </w:r>
            <w:r w:rsidR="00973F6F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económica.</w:t>
            </w:r>
          </w:p>
        </w:tc>
        <w:tc>
          <w:tcPr>
            <w:tcW w:w="4043" w:type="dxa"/>
            <w:tcBorders>
              <w:top w:val="single" w:sz="24" w:space="0" w:color="FFC000"/>
              <w:left w:val="single" w:sz="24" w:space="0" w:color="FFC000"/>
              <w:right w:val="single" w:sz="24" w:space="0" w:color="FFC000"/>
            </w:tcBorders>
            <w:vAlign w:val="center"/>
          </w:tcPr>
          <w:p w:rsidR="00152747" w:rsidRPr="00F61828" w:rsidRDefault="00577391" w:rsidP="00F6182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</w:pPr>
            <w:r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-</w:t>
            </w:r>
            <w:r w:rsidR="00152747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Promover políticas que mejoren el bienestar económico y social de las personas alrededor del mundo.</w:t>
            </w:r>
          </w:p>
          <w:p w:rsidR="00152747" w:rsidRPr="00F61828" w:rsidRDefault="00152747" w:rsidP="00F6182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es-MX"/>
              </w:rPr>
            </w:pPr>
            <w:r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Garantizar un nivel general de habilidades y conocimiento más alto, lo que facilitará el crecimiento económico y mejores condiciones de vida para todos los mexicanos</w:t>
            </w:r>
            <w:r w:rsidR="00C75FAE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bdr w:val="none" w:sz="0" w:space="0" w:color="auto" w:frame="1"/>
                <w:lang w:eastAsia="es-MX"/>
              </w:rPr>
              <w:t>.</w:t>
            </w:r>
          </w:p>
          <w:p w:rsidR="00152747" w:rsidRPr="00F61828" w:rsidRDefault="00152747" w:rsidP="00F618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  <w:tr w:rsidR="00C75FAE" w:rsidRPr="00E977F4" w:rsidTr="00F61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C75FAE" w:rsidRDefault="00C75FAE" w:rsidP="00F6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2747" w:rsidRDefault="00152747" w:rsidP="00F6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77F4">
              <w:rPr>
                <w:rFonts w:ascii="Arial" w:hAnsi="Arial" w:cs="Arial"/>
                <w:sz w:val="24"/>
                <w:szCs w:val="24"/>
              </w:rPr>
              <w:t>ONG</w:t>
            </w:r>
          </w:p>
          <w:p w:rsidR="00C75FAE" w:rsidRDefault="00C75FAE" w:rsidP="00F6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(Organizaciones</w:t>
            </w:r>
          </w:p>
          <w:p w:rsidR="00C75FAE" w:rsidRDefault="00C75FAE" w:rsidP="00F6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  <w:p w:rsidR="00C75FAE" w:rsidRPr="00E977F4" w:rsidRDefault="00C75FAE" w:rsidP="00F6182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Gubernamentales)</w:t>
            </w:r>
          </w:p>
        </w:tc>
        <w:tc>
          <w:tcPr>
            <w:tcW w:w="2219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C75FAE" w:rsidRPr="00F61828" w:rsidRDefault="00C75FAE" w:rsidP="00F61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:rsidR="00152747" w:rsidRPr="00F61828" w:rsidRDefault="00577391" w:rsidP="00F61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-</w:t>
            </w:r>
            <w:r w:rsidR="00E977F4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Tiene como meta ayudar a quienes lo necesitan y que el gobierno no puede brindarles apoyo, se basan en diversos aspectos entre ellos la educación, de esta manera se mejora la </w:t>
            </w:r>
            <w:r w:rsidR="00E977F4" w:rsidRPr="00F61828">
              <w:rPr>
                <w:rFonts w:ascii="Arial" w:hAnsi="Arial" w:cs="Arial"/>
                <w:b/>
                <w:sz w:val="24"/>
                <w:szCs w:val="24"/>
              </w:rPr>
              <w:t xml:space="preserve">calidad </w:t>
            </w:r>
            <w:r w:rsidR="00E977F4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y se combaten las problemáticas.</w:t>
            </w:r>
          </w:p>
        </w:tc>
        <w:tc>
          <w:tcPr>
            <w:tcW w:w="2154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C75FAE" w:rsidRPr="00F61828" w:rsidRDefault="00C75FAE" w:rsidP="00F61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:rsidR="00152747" w:rsidRPr="00F61828" w:rsidRDefault="00577391" w:rsidP="00F61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-</w:t>
            </w:r>
            <w:r w:rsidR="00E977F4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Tiene tareas orientadas y dirigidas por personas con un interés común, las </w:t>
            </w:r>
            <w:r w:rsidR="00E977F4" w:rsidRPr="00F61828">
              <w:rPr>
                <w:rStyle w:val="caps"/>
                <w:rFonts w:ascii="Arial" w:hAnsi="Arial" w:cs="Arial"/>
                <w:color w:val="262626" w:themeColor="text1" w:themeTint="D9"/>
                <w:sz w:val="24"/>
                <w:szCs w:val="24"/>
              </w:rPr>
              <w:t xml:space="preserve">ONG </w:t>
            </w:r>
            <w:r w:rsidR="00E977F4" w:rsidRPr="00F61828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realizan una variedad de servicios y funciones humanitarias, llevan los problemas de los ciudadanos a los Gobiernos, supervisan las políticas y alientan la participación de la comunidad.</w:t>
            </w:r>
          </w:p>
        </w:tc>
        <w:tc>
          <w:tcPr>
            <w:tcW w:w="4043" w:type="dxa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single" w:sz="24" w:space="0" w:color="FFC000"/>
            </w:tcBorders>
            <w:vAlign w:val="center"/>
          </w:tcPr>
          <w:p w:rsidR="00E977F4" w:rsidRPr="00F61828" w:rsidRDefault="00577391" w:rsidP="00F61828">
            <w:pPr>
              <w:shd w:val="clear" w:color="auto" w:fill="FFFFFF"/>
              <w:spacing w:before="240" w:after="240"/>
              <w:ind w:right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es-MX"/>
              </w:rPr>
            </w:pPr>
            <w:r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es-MX"/>
              </w:rPr>
              <w:t>-</w:t>
            </w:r>
            <w:r w:rsidR="00E977F4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es-MX"/>
              </w:rPr>
              <w:t xml:space="preserve">Se realiza de forma independiente a los gobiernos, tanto regionales, Nacionales como de organizaciones Internacionales. Este tipo de Organizaciones adoptan formas jurídicas tales como </w:t>
            </w:r>
            <w:r w:rsidR="00E977F4" w:rsidRPr="00F61828"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  <w:lang w:eastAsia="es-MX"/>
              </w:rPr>
              <w:t xml:space="preserve">Asociación, Fundación, corporación o cooperativa. </w:t>
            </w:r>
            <w:r w:rsidR="00E977F4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es-MX"/>
              </w:rPr>
              <w:t xml:space="preserve">Las </w:t>
            </w:r>
            <w:r w:rsidR="00E977F4" w:rsidRPr="00F61828"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  <w:lang w:eastAsia="es-MX"/>
              </w:rPr>
              <w:t>ONG</w:t>
            </w:r>
            <w:r w:rsidR="00E977F4" w:rsidRPr="00F6182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es-MX"/>
              </w:rPr>
              <w:t xml:space="preserve"> se constituyen principalmente por </w:t>
            </w:r>
            <w:r w:rsidR="00E977F4" w:rsidRPr="00F61828"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  <w:lang w:eastAsia="es-MX"/>
              </w:rPr>
              <w:t>voluntarios</w:t>
            </w:r>
            <w:r w:rsidR="00C75FAE" w:rsidRPr="00F61828">
              <w:rPr>
                <w:rFonts w:ascii="Arial" w:eastAsia="Times New Roman" w:hAnsi="Arial" w:cs="Arial"/>
                <w:bCs/>
                <w:color w:val="262626" w:themeColor="text1" w:themeTint="D9"/>
                <w:sz w:val="24"/>
                <w:szCs w:val="24"/>
                <w:lang w:eastAsia="es-MX"/>
              </w:rPr>
              <w:t>.</w:t>
            </w:r>
          </w:p>
          <w:p w:rsidR="00152747" w:rsidRPr="00F61828" w:rsidRDefault="00152747" w:rsidP="00F618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722E77" w:rsidRPr="00E977F4" w:rsidRDefault="00722E77">
      <w:pPr>
        <w:rPr>
          <w:rFonts w:ascii="Arial" w:hAnsi="Arial" w:cs="Arial"/>
          <w:sz w:val="24"/>
          <w:szCs w:val="24"/>
        </w:rPr>
      </w:pPr>
    </w:p>
    <w:p w:rsidR="00C40A1C" w:rsidRPr="00C40A1C" w:rsidRDefault="00C40A1C">
      <w:pPr>
        <w:rPr>
          <w:rFonts w:ascii="Arial" w:hAnsi="Arial" w:cs="Arial"/>
          <w:sz w:val="24"/>
          <w:szCs w:val="24"/>
        </w:rPr>
      </w:pPr>
    </w:p>
    <w:p w:rsidR="00627D1C" w:rsidRPr="003B24BA" w:rsidRDefault="00627D1C" w:rsidP="003B24BA">
      <w:pPr>
        <w:rPr>
          <w:rFonts w:ascii="Arial" w:hAnsi="Arial" w:cs="Arial"/>
          <w:sz w:val="24"/>
          <w:szCs w:val="24"/>
        </w:rPr>
      </w:pPr>
    </w:p>
    <w:sectPr w:rsidR="00627D1C" w:rsidRPr="003B2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431F2"/>
    <w:multiLevelType w:val="hybridMultilevel"/>
    <w:tmpl w:val="A7DAF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77"/>
    <w:rsid w:val="000B442E"/>
    <w:rsid w:val="00152747"/>
    <w:rsid w:val="001C445F"/>
    <w:rsid w:val="00216E11"/>
    <w:rsid w:val="003B24BA"/>
    <w:rsid w:val="00530309"/>
    <w:rsid w:val="00577391"/>
    <w:rsid w:val="00597FB5"/>
    <w:rsid w:val="005A2DB2"/>
    <w:rsid w:val="006033C0"/>
    <w:rsid w:val="00627D1C"/>
    <w:rsid w:val="006751FE"/>
    <w:rsid w:val="006F798E"/>
    <w:rsid w:val="00710A32"/>
    <w:rsid w:val="00722E77"/>
    <w:rsid w:val="0088379A"/>
    <w:rsid w:val="009600CC"/>
    <w:rsid w:val="00973F6F"/>
    <w:rsid w:val="00A470C8"/>
    <w:rsid w:val="00B20B65"/>
    <w:rsid w:val="00BA3C98"/>
    <w:rsid w:val="00C40A1C"/>
    <w:rsid w:val="00C75FAE"/>
    <w:rsid w:val="00CB02D0"/>
    <w:rsid w:val="00D46B6E"/>
    <w:rsid w:val="00D6641A"/>
    <w:rsid w:val="00DB5F68"/>
    <w:rsid w:val="00E977F4"/>
    <w:rsid w:val="00F61828"/>
    <w:rsid w:val="00F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4314"/>
  <w15:docId w15:val="{7420E667-1B41-4D6B-8D0D-6D50CEB5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22E77"/>
  </w:style>
  <w:style w:type="table" w:styleId="Tablaconcuadrcula">
    <w:name w:val="Table Grid"/>
    <w:basedOn w:val="Tablanormal"/>
    <w:uiPriority w:val="39"/>
    <w:rsid w:val="0072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uentedeprrafopredeter"/>
    <w:rsid w:val="00C40A1C"/>
  </w:style>
  <w:style w:type="character" w:customStyle="1" w:styleId="l">
    <w:name w:val="l"/>
    <w:basedOn w:val="Fuentedeprrafopredeter"/>
    <w:rsid w:val="00C40A1C"/>
  </w:style>
  <w:style w:type="character" w:customStyle="1" w:styleId="l7">
    <w:name w:val="l7"/>
    <w:basedOn w:val="Fuentedeprrafopredeter"/>
    <w:rsid w:val="00C40A1C"/>
  </w:style>
  <w:style w:type="character" w:customStyle="1" w:styleId="l6">
    <w:name w:val="l6"/>
    <w:basedOn w:val="Fuentedeprrafopredeter"/>
    <w:rsid w:val="00C40A1C"/>
  </w:style>
  <w:style w:type="character" w:customStyle="1" w:styleId="l8">
    <w:name w:val="l8"/>
    <w:basedOn w:val="Fuentedeprrafopredeter"/>
    <w:rsid w:val="00C40A1C"/>
  </w:style>
  <w:style w:type="paragraph" w:styleId="Prrafodelista">
    <w:name w:val="List Paragraph"/>
    <w:basedOn w:val="Normal"/>
    <w:uiPriority w:val="34"/>
    <w:qFormat/>
    <w:rsid w:val="00C40A1C"/>
    <w:pPr>
      <w:ind w:left="720"/>
      <w:contextualSpacing/>
    </w:pPr>
  </w:style>
  <w:style w:type="character" w:customStyle="1" w:styleId="l12">
    <w:name w:val="l12"/>
    <w:basedOn w:val="Fuentedeprrafopredeter"/>
    <w:rsid w:val="00C40A1C"/>
  </w:style>
  <w:style w:type="character" w:customStyle="1" w:styleId="caps">
    <w:name w:val="caps"/>
    <w:basedOn w:val="Fuentedeprrafopredeter"/>
    <w:rsid w:val="00E977F4"/>
  </w:style>
  <w:style w:type="character" w:styleId="Textoennegrita">
    <w:name w:val="Strong"/>
    <w:basedOn w:val="Fuentedeprrafopredeter"/>
    <w:uiPriority w:val="22"/>
    <w:qFormat/>
    <w:rsid w:val="00E977F4"/>
    <w:rPr>
      <w:b/>
      <w:bCs/>
      <w:i w:val="0"/>
      <w:iCs w:val="0"/>
    </w:rPr>
  </w:style>
  <w:style w:type="table" w:styleId="Tabladelista3-nfasis4">
    <w:name w:val="List Table 3 Accent 4"/>
    <w:basedOn w:val="Tablanormal"/>
    <w:uiPriority w:val="48"/>
    <w:rsid w:val="0057739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711">
          <w:marLeft w:val="0"/>
          <w:marRight w:val="0"/>
          <w:marTop w:val="15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3685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3</cp:revision>
  <dcterms:created xsi:type="dcterms:W3CDTF">2015-12-16T04:23:00Z</dcterms:created>
  <dcterms:modified xsi:type="dcterms:W3CDTF">2015-12-16T04:24:00Z</dcterms:modified>
</cp:coreProperties>
</file>