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21" w:rsidRPr="00774746" w:rsidRDefault="00BB3921" w:rsidP="00BB3921">
      <w:pPr>
        <w:spacing w:line="360" w:lineRule="auto"/>
        <w:jc w:val="center"/>
        <w:rPr>
          <w:rFonts w:ascii="Arial" w:hAnsi="Arial" w:cs="Arial"/>
          <w:b/>
          <w:sz w:val="40"/>
        </w:rPr>
      </w:pPr>
      <w:r w:rsidRPr="00774746">
        <w:rPr>
          <w:rFonts w:ascii="Arial" w:hAnsi="Arial" w:cs="Arial"/>
          <w:b/>
          <w:sz w:val="40"/>
        </w:rPr>
        <w:t>Escuela Normal de Educación Preescolar del Estado de Coahuila</w:t>
      </w:r>
    </w:p>
    <w:p w:rsidR="00BB3921" w:rsidRPr="00A62960" w:rsidRDefault="00BB3921" w:rsidP="00BB3921">
      <w:pPr>
        <w:spacing w:line="360" w:lineRule="auto"/>
        <w:jc w:val="center"/>
        <w:rPr>
          <w:rFonts w:ascii="Arial" w:hAnsi="Arial" w:cs="Arial"/>
          <w:sz w:val="36"/>
        </w:rPr>
      </w:pPr>
      <w:r w:rsidRPr="00A62960">
        <w:rPr>
          <w:rFonts w:ascii="Arial" w:hAnsi="Arial" w:cs="Arial"/>
          <w:noProof/>
          <w:sz w:val="36"/>
          <w:lang w:eastAsia="es-MX"/>
        </w:rPr>
        <w:drawing>
          <wp:anchor distT="0" distB="0" distL="114300" distR="114300" simplePos="0" relativeHeight="251659264" behindDoc="0" locked="0" layoutInCell="1" allowOverlap="1" wp14:anchorId="7A217145" wp14:editId="70035DD3">
            <wp:simplePos x="0" y="0"/>
            <wp:positionH relativeFrom="margin">
              <wp:posOffset>1972310</wp:posOffset>
            </wp:positionH>
            <wp:positionV relativeFrom="margin">
              <wp:posOffset>1410335</wp:posOffset>
            </wp:positionV>
            <wp:extent cx="1485900" cy="11049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jpg"/>
                    <pic:cNvPicPr/>
                  </pic:nvPicPr>
                  <pic:blipFill>
                    <a:blip r:embed="rId5">
                      <a:extLst>
                        <a:ext uri="{28A0092B-C50C-407E-A947-70E740481C1C}">
                          <a14:useLocalDpi xmlns:a14="http://schemas.microsoft.com/office/drawing/2010/main" val="0"/>
                        </a:ext>
                      </a:extLst>
                    </a:blip>
                    <a:stretch>
                      <a:fillRect/>
                    </a:stretch>
                  </pic:blipFill>
                  <pic:spPr>
                    <a:xfrm>
                      <a:off x="0" y="0"/>
                      <a:ext cx="1485900" cy="1104900"/>
                    </a:xfrm>
                    <a:prstGeom prst="rect">
                      <a:avLst/>
                    </a:prstGeom>
                  </pic:spPr>
                </pic:pic>
              </a:graphicData>
            </a:graphic>
          </wp:anchor>
        </w:drawing>
      </w:r>
    </w:p>
    <w:p w:rsidR="00BB3921" w:rsidRDefault="00BB3921" w:rsidP="00BB3921">
      <w:pPr>
        <w:spacing w:line="360" w:lineRule="auto"/>
        <w:jc w:val="center"/>
        <w:rPr>
          <w:rFonts w:ascii="Arial" w:hAnsi="Arial" w:cs="Arial"/>
          <w:sz w:val="36"/>
        </w:rPr>
      </w:pPr>
    </w:p>
    <w:p w:rsidR="00BB3921" w:rsidRPr="00A62960" w:rsidRDefault="00BB3921" w:rsidP="00BB3921">
      <w:pPr>
        <w:spacing w:line="360" w:lineRule="auto"/>
        <w:jc w:val="center"/>
        <w:rPr>
          <w:rFonts w:ascii="Arial" w:hAnsi="Arial" w:cs="Arial"/>
          <w:sz w:val="36"/>
        </w:rPr>
      </w:pPr>
    </w:p>
    <w:p w:rsidR="00BB3921" w:rsidRPr="00A62960" w:rsidRDefault="00BB3921" w:rsidP="00BB3921">
      <w:pPr>
        <w:spacing w:line="360" w:lineRule="auto"/>
        <w:jc w:val="center"/>
        <w:rPr>
          <w:rFonts w:ascii="Arial" w:hAnsi="Arial" w:cs="Arial"/>
          <w:sz w:val="36"/>
        </w:rPr>
      </w:pPr>
    </w:p>
    <w:p w:rsidR="00BB3921" w:rsidRDefault="00BB3921" w:rsidP="00BB3921">
      <w:pPr>
        <w:spacing w:line="360" w:lineRule="auto"/>
        <w:jc w:val="center"/>
        <w:rPr>
          <w:rFonts w:ascii="Arial" w:hAnsi="Arial" w:cs="Arial"/>
          <w:b/>
          <w:sz w:val="40"/>
        </w:rPr>
      </w:pPr>
      <w:r>
        <w:rPr>
          <w:rFonts w:ascii="Arial" w:hAnsi="Arial" w:cs="Arial"/>
          <w:b/>
          <w:sz w:val="40"/>
        </w:rPr>
        <w:t>TUTORIA GRUPAL</w:t>
      </w:r>
    </w:p>
    <w:p w:rsidR="00BB3921" w:rsidRDefault="00BB3921" w:rsidP="00BB3921">
      <w:pPr>
        <w:spacing w:line="360" w:lineRule="auto"/>
        <w:jc w:val="center"/>
        <w:rPr>
          <w:rFonts w:ascii="Arial" w:hAnsi="Arial" w:cs="Arial"/>
          <w:b/>
          <w:sz w:val="40"/>
        </w:rPr>
      </w:pPr>
      <w:r>
        <w:rPr>
          <w:rFonts w:ascii="Arial" w:hAnsi="Arial" w:cs="Arial"/>
          <w:b/>
          <w:sz w:val="40"/>
        </w:rPr>
        <w:t>Escrito Reflexivo: Equidad de Genero</w:t>
      </w:r>
    </w:p>
    <w:p w:rsidR="00BB3921" w:rsidRDefault="00BB3921" w:rsidP="00BB3921">
      <w:pPr>
        <w:spacing w:line="360" w:lineRule="auto"/>
        <w:jc w:val="center"/>
        <w:rPr>
          <w:rFonts w:ascii="Arial" w:hAnsi="Arial" w:cs="Arial"/>
          <w:sz w:val="28"/>
        </w:rPr>
      </w:pPr>
      <w:r w:rsidRPr="00520393">
        <w:rPr>
          <w:rFonts w:ascii="Arial" w:hAnsi="Arial" w:cs="Arial"/>
          <w:sz w:val="28"/>
        </w:rPr>
        <w:t xml:space="preserve">Gabriela Berenice Ortiz Aguilar </w:t>
      </w:r>
    </w:p>
    <w:p w:rsidR="00BB3921" w:rsidRDefault="00BB3921" w:rsidP="00BB3921">
      <w:pPr>
        <w:spacing w:line="360" w:lineRule="auto"/>
        <w:jc w:val="center"/>
        <w:rPr>
          <w:rFonts w:ascii="Arial" w:hAnsi="Arial" w:cs="Arial"/>
          <w:sz w:val="28"/>
        </w:rPr>
      </w:pPr>
      <w:r>
        <w:rPr>
          <w:rFonts w:ascii="Arial" w:hAnsi="Arial" w:cs="Arial"/>
          <w:sz w:val="28"/>
        </w:rPr>
        <w:t>Numero de lista: 8</w:t>
      </w:r>
    </w:p>
    <w:p w:rsidR="00BB3921" w:rsidRDefault="00BB3921" w:rsidP="00BB3921">
      <w:pPr>
        <w:spacing w:line="360" w:lineRule="auto"/>
        <w:jc w:val="center"/>
        <w:rPr>
          <w:rFonts w:ascii="Arial" w:hAnsi="Arial" w:cs="Arial"/>
          <w:sz w:val="28"/>
        </w:rPr>
      </w:pPr>
    </w:p>
    <w:p w:rsidR="00BB3921" w:rsidRDefault="00BB3921" w:rsidP="00BB3921">
      <w:pPr>
        <w:spacing w:line="360" w:lineRule="auto"/>
        <w:jc w:val="center"/>
        <w:rPr>
          <w:rFonts w:ascii="Arial" w:hAnsi="Arial" w:cs="Arial"/>
          <w:b/>
          <w:sz w:val="36"/>
        </w:rPr>
      </w:pPr>
      <w:r w:rsidRPr="00774746">
        <w:rPr>
          <w:rFonts w:ascii="Arial" w:hAnsi="Arial" w:cs="Arial"/>
          <w:b/>
          <w:sz w:val="36"/>
        </w:rPr>
        <w:t xml:space="preserve">Prof. </w:t>
      </w:r>
      <w:r>
        <w:rPr>
          <w:rFonts w:ascii="Arial" w:hAnsi="Arial" w:cs="Arial"/>
          <w:b/>
          <w:sz w:val="36"/>
        </w:rPr>
        <w:t xml:space="preserve">Elena Monserrat Gámez Cepeda </w:t>
      </w:r>
    </w:p>
    <w:p w:rsidR="00BB3921" w:rsidRDefault="00BB3921" w:rsidP="00BB3921">
      <w:pPr>
        <w:spacing w:line="360" w:lineRule="auto"/>
        <w:jc w:val="center"/>
        <w:rPr>
          <w:rFonts w:ascii="Arial" w:hAnsi="Arial" w:cs="Arial"/>
          <w:sz w:val="28"/>
        </w:rPr>
      </w:pPr>
    </w:p>
    <w:p w:rsidR="00BB3921" w:rsidRPr="00520393" w:rsidRDefault="00BB3921" w:rsidP="00BB3921">
      <w:pPr>
        <w:spacing w:line="360" w:lineRule="auto"/>
        <w:jc w:val="center"/>
        <w:rPr>
          <w:rFonts w:ascii="Arial" w:hAnsi="Arial" w:cs="Arial"/>
          <w:sz w:val="28"/>
        </w:rPr>
      </w:pPr>
    </w:p>
    <w:p w:rsidR="00BB3921" w:rsidRDefault="00BB3921" w:rsidP="00BB3921">
      <w:pPr>
        <w:spacing w:line="360" w:lineRule="auto"/>
        <w:rPr>
          <w:rFonts w:ascii="Arial" w:hAnsi="Arial" w:cs="Arial"/>
          <w:b/>
          <w:sz w:val="32"/>
        </w:rPr>
      </w:pPr>
      <w:r>
        <w:rPr>
          <w:rFonts w:ascii="Arial" w:hAnsi="Arial" w:cs="Arial"/>
          <w:b/>
          <w:sz w:val="32"/>
        </w:rPr>
        <w:t xml:space="preserve">Cuarto Año Sección “A” </w:t>
      </w:r>
      <w:r>
        <w:rPr>
          <w:rFonts w:ascii="Arial" w:hAnsi="Arial" w:cs="Arial"/>
          <w:b/>
          <w:sz w:val="32"/>
        </w:rPr>
        <w:tab/>
      </w:r>
      <w:r>
        <w:rPr>
          <w:rFonts w:ascii="Arial" w:hAnsi="Arial" w:cs="Arial"/>
          <w:b/>
          <w:sz w:val="32"/>
        </w:rPr>
        <w:tab/>
      </w:r>
      <w:r w:rsidRPr="00520393">
        <w:rPr>
          <w:rFonts w:ascii="Arial" w:hAnsi="Arial" w:cs="Arial"/>
          <w:b/>
          <w:sz w:val="24"/>
        </w:rPr>
        <w:tab/>
      </w:r>
      <w:r>
        <w:rPr>
          <w:rFonts w:ascii="Arial" w:hAnsi="Arial" w:cs="Arial"/>
          <w:b/>
          <w:sz w:val="24"/>
        </w:rPr>
        <w:t xml:space="preserve">                    Marzo</w:t>
      </w:r>
      <w:r>
        <w:rPr>
          <w:rFonts w:ascii="Arial" w:hAnsi="Arial" w:cs="Arial"/>
          <w:b/>
          <w:sz w:val="24"/>
        </w:rPr>
        <w:t>, 2016</w:t>
      </w:r>
    </w:p>
    <w:p w:rsidR="00BB3921" w:rsidRDefault="00BB3921" w:rsidP="00BB3921">
      <w:pPr>
        <w:rPr>
          <w:rFonts w:ascii="Arial" w:hAnsi="Arial" w:cs="Arial"/>
          <w:b/>
          <w:sz w:val="24"/>
          <w:szCs w:val="24"/>
        </w:rPr>
      </w:pPr>
      <w:r>
        <w:rPr>
          <w:rFonts w:ascii="Arial" w:hAnsi="Arial" w:cs="Arial"/>
          <w:b/>
          <w:sz w:val="24"/>
          <w:szCs w:val="24"/>
        </w:rPr>
        <w:br w:type="page"/>
      </w:r>
    </w:p>
    <w:p w:rsidR="00BB3921" w:rsidRDefault="00BB3921">
      <w:pPr>
        <w:rPr>
          <w:rFonts w:ascii="Arial" w:hAnsi="Arial" w:cs="Arial"/>
          <w:b/>
          <w:sz w:val="24"/>
          <w:szCs w:val="24"/>
        </w:rPr>
      </w:pPr>
      <w:bookmarkStart w:id="0" w:name="_GoBack"/>
      <w:bookmarkEnd w:id="0"/>
    </w:p>
    <w:p w:rsidR="00D05DA2" w:rsidRPr="00DE4728" w:rsidRDefault="005F58DB" w:rsidP="00DE4728">
      <w:pPr>
        <w:spacing w:line="360" w:lineRule="auto"/>
        <w:jc w:val="both"/>
        <w:rPr>
          <w:rFonts w:ascii="Arial" w:hAnsi="Arial" w:cs="Arial"/>
          <w:b/>
          <w:sz w:val="24"/>
          <w:szCs w:val="24"/>
        </w:rPr>
      </w:pPr>
      <w:r w:rsidRPr="00DE4728">
        <w:rPr>
          <w:rFonts w:ascii="Arial" w:hAnsi="Arial" w:cs="Arial"/>
          <w:b/>
          <w:sz w:val="24"/>
          <w:szCs w:val="24"/>
        </w:rPr>
        <w:t xml:space="preserve">Escrito reflexivo: Equidad de Genero </w:t>
      </w:r>
    </w:p>
    <w:p w:rsidR="00DE4728" w:rsidRPr="00DE4728" w:rsidRDefault="005F58DB" w:rsidP="00DE4728">
      <w:pPr>
        <w:spacing w:line="360" w:lineRule="auto"/>
        <w:jc w:val="both"/>
        <w:rPr>
          <w:rFonts w:ascii="Arial" w:hAnsi="Arial" w:cs="Arial"/>
          <w:sz w:val="24"/>
          <w:szCs w:val="24"/>
        </w:rPr>
      </w:pPr>
      <w:r w:rsidRPr="00DE4728">
        <w:rPr>
          <w:rFonts w:ascii="Arial" w:hAnsi="Arial" w:cs="Arial"/>
          <w:sz w:val="24"/>
          <w:szCs w:val="24"/>
        </w:rPr>
        <w:t xml:space="preserve">El video observado representaba principalmente el aspecto de equidad, en él se mostraron situaciones de la vida cotidiana en donde se discriminaba a las mujeres, por el simple echo de serlo, esta práctica se realiza décadas atrás en la sociedad, tanto en el ámbito personal, laborar y de oportunidades,  las mujeres son percibidas como débiles sin capacidad de realizar diferentes actividades que no sean meramente del hogar, con los años esta idea ha sido comprobada como errónea, el sexo femenino ha comenzado a participar en diferentes </w:t>
      </w:r>
      <w:r w:rsidR="00245C86" w:rsidRPr="00DE4728">
        <w:rPr>
          <w:rFonts w:ascii="Arial" w:hAnsi="Arial" w:cs="Arial"/>
          <w:sz w:val="24"/>
          <w:szCs w:val="24"/>
        </w:rPr>
        <w:t xml:space="preserve">medios, ya no realizando actividades de profesiones natamente femeninas sino todo lo contrario, de cierto tiempo hacia el presente las mujeres están siendo más valoradas y recompensado sobre lo que realizan, ya que eso era otro factor de discriminación </w:t>
      </w:r>
      <w:proofErr w:type="gramStart"/>
      <w:r w:rsidR="00245C86" w:rsidRPr="00DE4728">
        <w:rPr>
          <w:rFonts w:ascii="Arial" w:hAnsi="Arial" w:cs="Arial"/>
          <w:sz w:val="24"/>
          <w:szCs w:val="24"/>
        </w:rPr>
        <w:t>no</w:t>
      </w:r>
      <w:proofErr w:type="gramEnd"/>
      <w:r w:rsidR="00245C86" w:rsidRPr="00DE4728">
        <w:rPr>
          <w:rFonts w:ascii="Arial" w:hAnsi="Arial" w:cs="Arial"/>
          <w:sz w:val="24"/>
          <w:szCs w:val="24"/>
        </w:rPr>
        <w:t xml:space="preserve"> se daba la remuneración justa por su trabajo  </w:t>
      </w:r>
      <w:r w:rsidR="00DE4728" w:rsidRPr="00DE4728">
        <w:rPr>
          <w:rFonts w:ascii="Arial" w:hAnsi="Arial" w:cs="Arial"/>
          <w:sz w:val="24"/>
          <w:szCs w:val="24"/>
        </w:rPr>
        <w:t xml:space="preserve">lo que era una práctica de discriminación de gran índole hacia las mujeres. </w:t>
      </w:r>
    </w:p>
    <w:p w:rsidR="005F58DB" w:rsidRPr="00DE4728" w:rsidRDefault="00DE4728" w:rsidP="00DE4728">
      <w:pPr>
        <w:spacing w:line="360" w:lineRule="auto"/>
        <w:jc w:val="both"/>
        <w:rPr>
          <w:rFonts w:ascii="Arial" w:hAnsi="Arial" w:cs="Arial"/>
          <w:sz w:val="24"/>
          <w:szCs w:val="24"/>
        </w:rPr>
      </w:pPr>
      <w:r w:rsidRPr="00DE4728">
        <w:rPr>
          <w:rFonts w:ascii="Arial" w:hAnsi="Arial" w:cs="Arial"/>
          <w:sz w:val="24"/>
          <w:szCs w:val="24"/>
        </w:rPr>
        <w:t>Aunque hoy en día la equidad de género es mayormente practicada por ambos sexos aún siguen existiendo indicios de discriminación principalmente hacia las mujeres ciertamente ha disminuido, ya se dan más oportunidades, se puede tomar decisiones por sí mismas, pueden ser jefas de hogar y tener mejores puestos laboral</w:t>
      </w:r>
      <w:r>
        <w:rPr>
          <w:rFonts w:ascii="Arial" w:hAnsi="Arial" w:cs="Arial"/>
          <w:sz w:val="24"/>
          <w:szCs w:val="24"/>
        </w:rPr>
        <w:t xml:space="preserve">es de acuerdo a su preparación, como sociedad se debe tener presente que los papeles han cambiado y que tanto hombres pueden realizar las actividades de hogar o profesiones que se creían totalmente femeninas, las mujeres pueden hacer lo mismo, trabajar en industria, prepararse para realizar cargos de importancia en cualquier ámbito, los dos sexos tienen las facultades para dichas acciones, esto se debe de visualizar no desde un punto de vista de sexos , si no de personas con las capacidades necesarias para sobresalir en el medio que </w:t>
      </w:r>
      <w:r w:rsidR="00BB3921">
        <w:rPr>
          <w:rFonts w:ascii="Arial" w:hAnsi="Arial" w:cs="Arial"/>
          <w:sz w:val="24"/>
          <w:szCs w:val="24"/>
        </w:rPr>
        <w:t>decidan</w:t>
      </w:r>
      <w:r>
        <w:rPr>
          <w:rFonts w:ascii="Arial" w:hAnsi="Arial" w:cs="Arial"/>
          <w:sz w:val="24"/>
          <w:szCs w:val="24"/>
        </w:rPr>
        <w:t xml:space="preserve">. </w:t>
      </w:r>
    </w:p>
    <w:sectPr w:rsidR="005F58DB" w:rsidRPr="00DE4728" w:rsidSect="00BB3921">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DB"/>
    <w:rsid w:val="00245C86"/>
    <w:rsid w:val="005F58DB"/>
    <w:rsid w:val="00BB3921"/>
    <w:rsid w:val="00D05DA2"/>
    <w:rsid w:val="00DE4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321</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Usuario Final</cp:lastModifiedBy>
  <cp:revision>1</cp:revision>
  <dcterms:created xsi:type="dcterms:W3CDTF">2016-03-14T23:31:00Z</dcterms:created>
  <dcterms:modified xsi:type="dcterms:W3CDTF">2016-03-15T00:18:00Z</dcterms:modified>
</cp:coreProperties>
</file>