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470EF" w:rsidRDefault="00F470EF">
      <w:pPr>
        <w:jc w:val="center"/>
      </w:pPr>
    </w:p>
    <w:p w:rsidR="00CD572E" w:rsidRDefault="00CD572E">
      <w:pPr>
        <w:jc w:val="center"/>
        <w:rPr>
          <w:sz w:val="20"/>
          <w:szCs w:val="20"/>
        </w:rPr>
      </w:pPr>
    </w:p>
    <w:p w:rsidR="00CD572E" w:rsidRPr="00CD572E" w:rsidRDefault="00CD572E">
      <w:pPr>
        <w:jc w:val="center"/>
        <w:rPr>
          <w:rFonts w:ascii="Century Gothic" w:hAnsi="Century Gothic"/>
          <w:b/>
        </w:rPr>
      </w:pPr>
      <w:r>
        <w:rPr>
          <w:rFonts w:ascii="Century Gothic" w:hAnsi="Century Gothic"/>
          <w:b/>
          <w:sz w:val="24"/>
          <w:szCs w:val="20"/>
        </w:rPr>
        <w:t>R</w:t>
      </w:r>
      <w:r w:rsidRPr="00CD572E">
        <w:rPr>
          <w:rFonts w:ascii="Century Gothic" w:hAnsi="Century Gothic"/>
          <w:b/>
          <w:sz w:val="24"/>
          <w:szCs w:val="20"/>
        </w:rPr>
        <w:t>elaciones interpersonales y la convivencia que</w:t>
      </w:r>
      <w:r>
        <w:rPr>
          <w:rFonts w:ascii="Century Gothic" w:hAnsi="Century Gothic"/>
          <w:b/>
          <w:sz w:val="24"/>
          <w:szCs w:val="20"/>
        </w:rPr>
        <w:t xml:space="preserve"> prevalece en el salón de clases.</w:t>
      </w:r>
      <w:bookmarkStart w:id="0" w:name="_GoBack"/>
      <w:bookmarkEnd w:id="0"/>
    </w:p>
    <w:p w:rsidR="00CD572E" w:rsidRDefault="00CD572E">
      <w:pPr>
        <w:jc w:val="center"/>
      </w:pPr>
    </w:p>
    <w:p w:rsidR="00CD572E" w:rsidRDefault="00CD572E">
      <w:pPr>
        <w:jc w:val="center"/>
      </w:pPr>
    </w:p>
    <w:tbl>
      <w:tblPr>
        <w:tblStyle w:val="a"/>
        <w:tblW w:w="9360"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85"/>
        <w:gridCol w:w="3345"/>
        <w:gridCol w:w="3030"/>
      </w:tblGrid>
      <w:tr w:rsidR="00F470EF" w:rsidTr="00CD572E">
        <w:tc>
          <w:tcPr>
            <w:tcW w:w="2985" w:type="dxa"/>
            <w:tcBorders>
              <w:top w:val="single" w:sz="8" w:space="0" w:color="000000"/>
              <w:left w:val="single" w:sz="8" w:space="0" w:color="000000"/>
              <w:bottom w:val="single" w:sz="8" w:space="0" w:color="000000"/>
              <w:right w:val="single" w:sz="8" w:space="0" w:color="000000"/>
            </w:tcBorders>
            <w:shd w:val="clear" w:color="auto" w:fill="70AD47" w:themeFill="accent6"/>
            <w:tcMar>
              <w:top w:w="100" w:type="dxa"/>
              <w:left w:w="100" w:type="dxa"/>
              <w:bottom w:w="100" w:type="dxa"/>
              <w:right w:w="100" w:type="dxa"/>
            </w:tcMar>
          </w:tcPr>
          <w:p w:rsidR="00F470EF" w:rsidRPr="00CD572E" w:rsidRDefault="00CD572E">
            <w:pPr>
              <w:jc w:val="center"/>
              <w:rPr>
                <w:rFonts w:ascii="Century Gothic" w:hAnsi="Century Gothic"/>
              </w:rPr>
            </w:pPr>
            <w:r w:rsidRPr="00CD572E">
              <w:rPr>
                <w:rFonts w:ascii="Century Gothic" w:hAnsi="Century Gothic"/>
                <w:b/>
                <w:sz w:val="20"/>
                <w:szCs w:val="20"/>
              </w:rPr>
              <w:t>Las maneras en que el docente responde a las conductas de los niños.</w:t>
            </w:r>
          </w:p>
        </w:tc>
        <w:tc>
          <w:tcPr>
            <w:tcW w:w="3345" w:type="dxa"/>
            <w:tcBorders>
              <w:top w:val="single" w:sz="8" w:space="0" w:color="000000"/>
              <w:bottom w:val="single" w:sz="8" w:space="0" w:color="000000"/>
              <w:right w:val="single" w:sz="8" w:space="0" w:color="000000"/>
            </w:tcBorders>
            <w:shd w:val="clear" w:color="auto" w:fill="5B9BD5" w:themeFill="accent1"/>
            <w:tcMar>
              <w:top w:w="100" w:type="dxa"/>
              <w:left w:w="100" w:type="dxa"/>
              <w:bottom w:w="100" w:type="dxa"/>
              <w:right w:w="100" w:type="dxa"/>
            </w:tcMar>
          </w:tcPr>
          <w:p w:rsidR="00F470EF" w:rsidRPr="00CD572E" w:rsidRDefault="00CD572E">
            <w:pPr>
              <w:jc w:val="center"/>
              <w:rPr>
                <w:rFonts w:ascii="Century Gothic" w:hAnsi="Century Gothic"/>
              </w:rPr>
            </w:pPr>
            <w:r w:rsidRPr="00CD572E">
              <w:rPr>
                <w:rFonts w:ascii="Century Gothic" w:hAnsi="Century Gothic"/>
                <w:b/>
                <w:sz w:val="20"/>
                <w:szCs w:val="20"/>
              </w:rPr>
              <w:t>Análisis de la información utilizando los referentes teóricos revisados.</w:t>
            </w:r>
          </w:p>
        </w:tc>
        <w:tc>
          <w:tcPr>
            <w:tcW w:w="3030" w:type="dxa"/>
            <w:tcBorders>
              <w:top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rsidR="00F470EF" w:rsidRPr="00CD572E" w:rsidRDefault="00CD572E">
            <w:pPr>
              <w:jc w:val="center"/>
              <w:rPr>
                <w:rFonts w:ascii="Century Gothic" w:hAnsi="Century Gothic"/>
              </w:rPr>
            </w:pPr>
            <w:r w:rsidRPr="00CD572E">
              <w:rPr>
                <w:rFonts w:ascii="Century Gothic" w:hAnsi="Century Gothic"/>
                <w:b/>
                <w:sz w:val="20"/>
                <w:szCs w:val="20"/>
              </w:rPr>
              <w:t>Estrategias que favorecen la convivencia democrática.</w:t>
            </w:r>
          </w:p>
          <w:p w:rsidR="00F470EF" w:rsidRPr="00CD572E" w:rsidRDefault="00CD572E">
            <w:pPr>
              <w:jc w:val="center"/>
              <w:rPr>
                <w:rFonts w:ascii="Century Gothic" w:hAnsi="Century Gothic"/>
              </w:rPr>
            </w:pPr>
            <w:r w:rsidRPr="00CD572E">
              <w:rPr>
                <w:rFonts w:ascii="Century Gothic" w:hAnsi="Century Gothic"/>
                <w:b/>
                <w:sz w:val="20"/>
                <w:szCs w:val="20"/>
              </w:rPr>
              <w:t xml:space="preserve"> </w:t>
            </w:r>
          </w:p>
        </w:tc>
      </w:tr>
      <w:tr w:rsidR="00F470EF" w:rsidTr="00CD572E">
        <w:tc>
          <w:tcPr>
            <w:tcW w:w="2985" w:type="dxa"/>
            <w:tcBorders>
              <w:left w:val="single" w:sz="8" w:space="0" w:color="000000"/>
              <w:bottom w:val="single" w:sz="8" w:space="0" w:color="000000"/>
              <w:right w:val="single" w:sz="8" w:space="0" w:color="000000"/>
            </w:tcBorders>
            <w:shd w:val="clear" w:color="auto" w:fill="70AD47" w:themeFill="accent6"/>
            <w:tcMar>
              <w:top w:w="100" w:type="dxa"/>
              <w:left w:w="100" w:type="dxa"/>
              <w:bottom w:w="100" w:type="dxa"/>
              <w:right w:w="100" w:type="dxa"/>
            </w:tcMar>
          </w:tcPr>
          <w:p w:rsidR="00F470EF" w:rsidRPr="00CD572E" w:rsidRDefault="00F470EF">
            <w:pPr>
              <w:jc w:val="both"/>
              <w:rPr>
                <w:rFonts w:ascii="Century Gothic" w:hAnsi="Century Gothic"/>
              </w:rPr>
            </w:pPr>
          </w:p>
          <w:p w:rsidR="00F470EF" w:rsidRPr="00CD572E" w:rsidRDefault="00CD572E">
            <w:pPr>
              <w:numPr>
                <w:ilvl w:val="0"/>
                <w:numId w:val="1"/>
              </w:numPr>
              <w:ind w:hanging="360"/>
              <w:contextualSpacing/>
              <w:jc w:val="both"/>
              <w:rPr>
                <w:rFonts w:ascii="Century Gothic" w:hAnsi="Century Gothic"/>
                <w:sz w:val="20"/>
                <w:szCs w:val="20"/>
              </w:rPr>
            </w:pPr>
            <w:r w:rsidRPr="00CD572E">
              <w:rPr>
                <w:rFonts w:ascii="Century Gothic" w:hAnsi="Century Gothic"/>
                <w:sz w:val="20"/>
                <w:szCs w:val="20"/>
              </w:rPr>
              <w:t>Se centran en identificar y resolver el conjunto de factores que generan los comportamientos violentos en la escuela, a través de mecanismos diferenciados, tales como la promoción del trabajo en equipo, el desarrollo de herramientas para la comunicación, e</w:t>
            </w:r>
            <w:r w:rsidRPr="00CD572E">
              <w:rPr>
                <w:rFonts w:ascii="Century Gothic" w:hAnsi="Century Gothic"/>
                <w:sz w:val="20"/>
                <w:szCs w:val="20"/>
              </w:rPr>
              <w:t>l diálogo, el ejercicio del pensamiento crítico y la deliberación basada en situaciones dilemáticas semejantes a las que enfrentan los estudiantes en su vida diaria; la formación ciudadana y la resolución de conflictos, así como la participación de los est</w:t>
            </w:r>
            <w:r w:rsidRPr="00CD572E">
              <w:rPr>
                <w:rFonts w:ascii="Century Gothic" w:hAnsi="Century Gothic"/>
                <w:sz w:val="20"/>
                <w:szCs w:val="20"/>
              </w:rPr>
              <w:t xml:space="preserve">udiantes en proyectos de acción social comunitaria. </w:t>
            </w:r>
          </w:p>
        </w:tc>
        <w:tc>
          <w:tcPr>
            <w:tcW w:w="3345" w:type="dxa"/>
            <w:tcBorders>
              <w:bottom w:val="single" w:sz="8" w:space="0" w:color="000000"/>
              <w:right w:val="single" w:sz="8" w:space="0" w:color="000000"/>
            </w:tcBorders>
            <w:shd w:val="clear" w:color="auto" w:fill="5B9BD5" w:themeFill="accent1"/>
            <w:tcMar>
              <w:top w:w="100" w:type="dxa"/>
              <w:left w:w="100" w:type="dxa"/>
              <w:bottom w:w="100" w:type="dxa"/>
              <w:right w:w="100" w:type="dxa"/>
            </w:tcMar>
          </w:tcPr>
          <w:p w:rsidR="00F470EF" w:rsidRPr="00CD572E" w:rsidRDefault="00CD572E">
            <w:pPr>
              <w:numPr>
                <w:ilvl w:val="0"/>
                <w:numId w:val="3"/>
              </w:numPr>
              <w:ind w:hanging="360"/>
              <w:contextualSpacing/>
              <w:jc w:val="both"/>
              <w:rPr>
                <w:rFonts w:ascii="Century Gothic" w:hAnsi="Century Gothic"/>
                <w:sz w:val="20"/>
                <w:szCs w:val="20"/>
              </w:rPr>
            </w:pPr>
            <w:r w:rsidRPr="00CD572E">
              <w:rPr>
                <w:rFonts w:ascii="Century Gothic" w:hAnsi="Century Gothic"/>
                <w:sz w:val="20"/>
                <w:szCs w:val="20"/>
              </w:rPr>
              <w:t>Tomando como base la convivencia escolar, debemos comprender las diferencias, apreciar la interdependencia y la pluralidad, aprender a enfrentar los conflictos de una manera positiva y promover continuam</w:t>
            </w:r>
            <w:r w:rsidRPr="00CD572E">
              <w:rPr>
                <w:rFonts w:ascii="Century Gothic" w:hAnsi="Century Gothic"/>
                <w:sz w:val="20"/>
                <w:szCs w:val="20"/>
              </w:rPr>
              <w:t>ente el entendimiento mutuo y la paz mediante la participación democrática de toda la comunidad escolar.</w:t>
            </w:r>
          </w:p>
          <w:p w:rsidR="00F470EF" w:rsidRPr="00CD572E" w:rsidRDefault="00F470EF">
            <w:pPr>
              <w:rPr>
                <w:rFonts w:ascii="Century Gothic" w:hAnsi="Century Gothic"/>
              </w:rPr>
            </w:pPr>
          </w:p>
          <w:p w:rsidR="00F470EF" w:rsidRPr="00CD572E" w:rsidRDefault="00F470EF">
            <w:pPr>
              <w:rPr>
                <w:rFonts w:ascii="Century Gothic" w:hAnsi="Century Gothic"/>
              </w:rPr>
            </w:pPr>
          </w:p>
          <w:p w:rsidR="00F470EF" w:rsidRPr="00CD572E" w:rsidRDefault="00F470EF">
            <w:pPr>
              <w:rPr>
                <w:rFonts w:ascii="Century Gothic" w:hAnsi="Century Gothic"/>
              </w:rPr>
            </w:pPr>
          </w:p>
        </w:tc>
        <w:tc>
          <w:tcPr>
            <w:tcW w:w="3030" w:type="dxa"/>
            <w:tcBorders>
              <w:bottom w:val="single" w:sz="8" w:space="0" w:color="000000"/>
              <w:right w:val="single" w:sz="8" w:space="0" w:color="000000"/>
            </w:tcBorders>
            <w:shd w:val="clear" w:color="auto" w:fill="FFFF00"/>
            <w:tcMar>
              <w:top w:w="100" w:type="dxa"/>
              <w:left w:w="100" w:type="dxa"/>
              <w:bottom w:w="100" w:type="dxa"/>
              <w:right w:w="100" w:type="dxa"/>
            </w:tcMar>
          </w:tcPr>
          <w:p w:rsidR="00F470EF" w:rsidRPr="00CD572E" w:rsidRDefault="00CD572E">
            <w:pPr>
              <w:numPr>
                <w:ilvl w:val="0"/>
                <w:numId w:val="4"/>
              </w:numPr>
              <w:ind w:hanging="360"/>
              <w:contextualSpacing/>
              <w:jc w:val="both"/>
              <w:rPr>
                <w:rFonts w:ascii="Century Gothic" w:hAnsi="Century Gothic"/>
                <w:sz w:val="20"/>
                <w:szCs w:val="20"/>
              </w:rPr>
            </w:pPr>
            <w:r w:rsidRPr="00CD572E">
              <w:rPr>
                <w:rFonts w:ascii="Century Gothic" w:hAnsi="Century Gothic"/>
                <w:sz w:val="20"/>
                <w:szCs w:val="20"/>
              </w:rPr>
              <w:t>Paz positiva dentro y fuera de las instituciones educativas radica en la capacidad de escuelas y maestros para desarrollar una convivencia democrática.</w:t>
            </w:r>
          </w:p>
          <w:p w:rsidR="00F470EF" w:rsidRPr="00CD572E" w:rsidRDefault="00CD572E">
            <w:pPr>
              <w:numPr>
                <w:ilvl w:val="0"/>
                <w:numId w:val="4"/>
              </w:numPr>
              <w:ind w:hanging="360"/>
              <w:contextualSpacing/>
              <w:jc w:val="both"/>
              <w:rPr>
                <w:rFonts w:ascii="Century Gothic" w:hAnsi="Century Gothic"/>
                <w:sz w:val="20"/>
                <w:szCs w:val="20"/>
              </w:rPr>
            </w:pPr>
            <w:r w:rsidRPr="00CD572E">
              <w:rPr>
                <w:rFonts w:ascii="Century Gothic" w:hAnsi="Century Gothic"/>
                <w:sz w:val="20"/>
                <w:szCs w:val="20"/>
              </w:rPr>
              <w:t>Impulsar la discusión y el diálogo abierto entre todos los  actores del ámbito educativo acerca de temas</w:t>
            </w:r>
            <w:r w:rsidRPr="00CD572E">
              <w:rPr>
                <w:rFonts w:ascii="Century Gothic" w:hAnsi="Century Gothic"/>
                <w:sz w:val="20"/>
                <w:szCs w:val="20"/>
              </w:rPr>
              <w:t xml:space="preserve"> de interés.</w:t>
            </w:r>
          </w:p>
          <w:p w:rsidR="00F470EF" w:rsidRPr="00CD572E" w:rsidRDefault="00CD572E">
            <w:pPr>
              <w:numPr>
                <w:ilvl w:val="0"/>
                <w:numId w:val="4"/>
              </w:numPr>
              <w:ind w:hanging="360"/>
              <w:contextualSpacing/>
              <w:jc w:val="both"/>
              <w:rPr>
                <w:rFonts w:ascii="Century Gothic" w:hAnsi="Century Gothic"/>
                <w:sz w:val="20"/>
                <w:szCs w:val="20"/>
              </w:rPr>
            </w:pPr>
            <w:r w:rsidRPr="00CD572E">
              <w:rPr>
                <w:rFonts w:ascii="Century Gothic" w:hAnsi="Century Gothic"/>
                <w:sz w:val="20"/>
                <w:szCs w:val="20"/>
              </w:rPr>
              <w:t xml:space="preserve">Mejorar el clima de confianza y de reciprocidad solidaria mediante la participación de todos los actores educativos.  </w:t>
            </w:r>
          </w:p>
          <w:p w:rsidR="00F470EF" w:rsidRPr="00CD572E" w:rsidRDefault="00CD572E">
            <w:pPr>
              <w:numPr>
                <w:ilvl w:val="0"/>
                <w:numId w:val="4"/>
              </w:numPr>
              <w:ind w:hanging="360"/>
              <w:contextualSpacing/>
              <w:jc w:val="both"/>
              <w:rPr>
                <w:rFonts w:ascii="Century Gothic" w:hAnsi="Century Gothic"/>
                <w:sz w:val="20"/>
                <w:szCs w:val="20"/>
              </w:rPr>
            </w:pPr>
            <w:r w:rsidRPr="00CD572E">
              <w:rPr>
                <w:rFonts w:ascii="Century Gothic" w:hAnsi="Century Gothic"/>
                <w:sz w:val="20"/>
                <w:szCs w:val="20"/>
              </w:rPr>
              <w:t>Movilizar a directivos y profesores mediante la práctica reflexiva continua sobre acontecimientos de la vida cotidiana en la</w:t>
            </w:r>
            <w:r w:rsidRPr="00CD572E">
              <w:rPr>
                <w:rFonts w:ascii="Century Gothic" w:hAnsi="Century Gothic"/>
                <w:sz w:val="20"/>
                <w:szCs w:val="20"/>
              </w:rPr>
              <w:t>s escuelas</w:t>
            </w:r>
          </w:p>
          <w:p w:rsidR="00F470EF" w:rsidRPr="00CD572E" w:rsidRDefault="00CD572E">
            <w:pPr>
              <w:jc w:val="both"/>
              <w:rPr>
                <w:rFonts w:ascii="Century Gothic" w:hAnsi="Century Gothic"/>
              </w:rPr>
            </w:pPr>
            <w:r w:rsidRPr="00CD572E">
              <w:rPr>
                <w:rFonts w:ascii="Century Gothic" w:hAnsi="Century Gothic"/>
                <w:i/>
                <w:sz w:val="20"/>
                <w:szCs w:val="20"/>
              </w:rPr>
              <w:t>Fierro, Carbajal y Martínez (2010).</w:t>
            </w:r>
          </w:p>
        </w:tc>
      </w:tr>
      <w:tr w:rsidR="00F470EF" w:rsidTr="00CD572E">
        <w:tc>
          <w:tcPr>
            <w:tcW w:w="2985" w:type="dxa"/>
            <w:tcBorders>
              <w:left w:val="single" w:sz="8" w:space="0" w:color="000000"/>
              <w:bottom w:val="single" w:sz="8" w:space="0" w:color="000000"/>
              <w:right w:val="single" w:sz="8" w:space="0" w:color="000000"/>
            </w:tcBorders>
            <w:shd w:val="clear" w:color="auto" w:fill="70AD47" w:themeFill="accent6"/>
            <w:tcMar>
              <w:top w:w="100" w:type="dxa"/>
              <w:left w:w="100" w:type="dxa"/>
              <w:bottom w:w="100" w:type="dxa"/>
              <w:right w:w="100" w:type="dxa"/>
            </w:tcMar>
          </w:tcPr>
          <w:p w:rsidR="00F470EF" w:rsidRPr="00CD572E" w:rsidRDefault="00CD572E">
            <w:pPr>
              <w:rPr>
                <w:rFonts w:ascii="Century Gothic" w:hAnsi="Century Gothic"/>
              </w:rPr>
            </w:pPr>
            <w:r w:rsidRPr="00CD572E">
              <w:rPr>
                <w:rFonts w:ascii="Century Gothic" w:hAnsi="Century Gothic"/>
                <w:sz w:val="20"/>
                <w:szCs w:val="20"/>
              </w:rPr>
              <w:t xml:space="preserve">Buscar categorías que delimiten de manera </w:t>
            </w:r>
            <w:r w:rsidRPr="00CD572E">
              <w:rPr>
                <w:rFonts w:ascii="Century Gothic" w:hAnsi="Century Gothic"/>
                <w:sz w:val="20"/>
                <w:szCs w:val="20"/>
              </w:rPr>
              <w:lastRenderedPageBreak/>
              <w:t>adecuada y rigurosa el análisis sobre los fenómenos estudiados, y ampliar las perspectivas interpretativas para intervenir en contextos problemáticos con niveles de c</w:t>
            </w:r>
            <w:r w:rsidRPr="00CD572E">
              <w:rPr>
                <w:rFonts w:ascii="Century Gothic" w:hAnsi="Century Gothic"/>
                <w:sz w:val="20"/>
                <w:szCs w:val="20"/>
              </w:rPr>
              <w:t xml:space="preserve">ertidumbre más altos y con mejores criterios orientadores </w:t>
            </w:r>
            <w:r w:rsidRPr="00CD572E">
              <w:rPr>
                <w:rFonts w:ascii="Century Gothic" w:hAnsi="Century Gothic"/>
                <w:i/>
                <w:sz w:val="20"/>
                <w:szCs w:val="20"/>
              </w:rPr>
              <w:t xml:space="preserve">Fierro (2012) </w:t>
            </w:r>
          </w:p>
        </w:tc>
        <w:tc>
          <w:tcPr>
            <w:tcW w:w="3345" w:type="dxa"/>
            <w:tcBorders>
              <w:bottom w:val="single" w:sz="8" w:space="0" w:color="000000"/>
              <w:right w:val="single" w:sz="8" w:space="0" w:color="000000"/>
            </w:tcBorders>
            <w:shd w:val="clear" w:color="auto" w:fill="5B9BD5" w:themeFill="accent1"/>
            <w:tcMar>
              <w:top w:w="100" w:type="dxa"/>
              <w:left w:w="100" w:type="dxa"/>
              <w:bottom w:w="100" w:type="dxa"/>
              <w:right w:w="100" w:type="dxa"/>
            </w:tcMar>
          </w:tcPr>
          <w:p w:rsidR="00F470EF" w:rsidRPr="00CD572E" w:rsidRDefault="00CD572E" w:rsidP="00CD572E">
            <w:pPr>
              <w:numPr>
                <w:ilvl w:val="0"/>
                <w:numId w:val="2"/>
              </w:numPr>
              <w:ind w:hanging="360"/>
              <w:contextualSpacing/>
              <w:rPr>
                <w:rFonts w:ascii="Century Gothic" w:hAnsi="Century Gothic"/>
                <w:sz w:val="20"/>
                <w:szCs w:val="20"/>
              </w:rPr>
            </w:pPr>
            <w:r w:rsidRPr="00CD572E">
              <w:rPr>
                <w:rFonts w:ascii="Century Gothic" w:hAnsi="Century Gothic"/>
                <w:sz w:val="20"/>
                <w:szCs w:val="20"/>
              </w:rPr>
              <w:lastRenderedPageBreak/>
              <w:t xml:space="preserve">Dadas las condiciones actuales, la labor de los </w:t>
            </w:r>
            <w:r w:rsidRPr="00CD572E">
              <w:rPr>
                <w:rFonts w:ascii="Century Gothic" w:hAnsi="Century Gothic"/>
                <w:sz w:val="20"/>
                <w:szCs w:val="20"/>
              </w:rPr>
              <w:lastRenderedPageBreak/>
              <w:t>docentes debe cambiar. La innovación educativa se ha convertido en una prioridad para tratar de dar solución a las problemáticas social</w:t>
            </w:r>
            <w:r w:rsidRPr="00CD572E">
              <w:rPr>
                <w:rFonts w:ascii="Century Gothic" w:hAnsi="Century Gothic"/>
                <w:sz w:val="20"/>
                <w:szCs w:val="20"/>
              </w:rPr>
              <w:t xml:space="preserve">es. La raíz de dichos problemas tiene que ver con la falta de valores en la formación de los alumnos, por ello, la educación debe tener otro enfoque, uno en el que se involucren prácticas reales, vinculando las actividades aprendidas en la escuela con las </w:t>
            </w:r>
            <w:r w:rsidRPr="00CD572E">
              <w:rPr>
                <w:rFonts w:ascii="Century Gothic" w:hAnsi="Century Gothic"/>
                <w:sz w:val="20"/>
                <w:szCs w:val="20"/>
              </w:rPr>
              <w:t xml:space="preserve">condiciones reales de vida de los alumnos. </w:t>
            </w:r>
            <w:r w:rsidRPr="00CD572E">
              <w:rPr>
                <w:rFonts w:ascii="Century Gothic" w:hAnsi="Century Gothic"/>
                <w:sz w:val="20"/>
                <w:szCs w:val="20"/>
              </w:rPr>
              <w:t>Esto implica un mayor nivel de preparación y compromiso por parte de los docentes, trabajo colaborativo dentro de los centros escolares, y sobre todo el cambio y la adecuación de contenidos que respondan a las ne</w:t>
            </w:r>
            <w:r w:rsidRPr="00CD572E">
              <w:rPr>
                <w:rFonts w:ascii="Century Gothic" w:hAnsi="Century Gothic"/>
                <w:sz w:val="20"/>
                <w:szCs w:val="20"/>
              </w:rPr>
              <w:t xml:space="preserve">cesidades reales de los alumnos que impacten de manera directa en su vida y en su formación académica. </w:t>
            </w:r>
          </w:p>
        </w:tc>
        <w:tc>
          <w:tcPr>
            <w:tcW w:w="3030" w:type="dxa"/>
            <w:tcBorders>
              <w:bottom w:val="single" w:sz="8" w:space="0" w:color="000000"/>
              <w:right w:val="single" w:sz="8" w:space="0" w:color="000000"/>
            </w:tcBorders>
            <w:shd w:val="clear" w:color="auto" w:fill="FFFF00"/>
            <w:tcMar>
              <w:top w:w="100" w:type="dxa"/>
              <w:left w:w="100" w:type="dxa"/>
              <w:bottom w:w="100" w:type="dxa"/>
              <w:right w:w="100" w:type="dxa"/>
            </w:tcMar>
          </w:tcPr>
          <w:p w:rsidR="00F470EF" w:rsidRPr="00CD572E" w:rsidRDefault="00CD572E">
            <w:pPr>
              <w:jc w:val="both"/>
              <w:rPr>
                <w:rFonts w:ascii="Century Gothic" w:hAnsi="Century Gothic"/>
              </w:rPr>
            </w:pPr>
            <w:r w:rsidRPr="00CD572E">
              <w:rPr>
                <w:rFonts w:ascii="Century Gothic" w:hAnsi="Century Gothic"/>
                <w:sz w:val="20"/>
                <w:szCs w:val="20"/>
              </w:rPr>
              <w:lastRenderedPageBreak/>
              <w:t xml:space="preserve">1) Construir comunidades afectivas, solidarias y </w:t>
            </w:r>
            <w:r w:rsidRPr="00CD572E">
              <w:rPr>
                <w:rFonts w:ascii="Century Gothic" w:hAnsi="Century Gothic"/>
                <w:sz w:val="20"/>
                <w:szCs w:val="20"/>
              </w:rPr>
              <w:lastRenderedPageBreak/>
              <w:t>seguras. 2) Promover un diálogo continuo entre las distintas identidades.</w:t>
            </w:r>
          </w:p>
          <w:p w:rsidR="00F470EF" w:rsidRPr="00CD572E" w:rsidRDefault="00CD572E">
            <w:pPr>
              <w:jc w:val="both"/>
              <w:rPr>
                <w:rFonts w:ascii="Century Gothic" w:hAnsi="Century Gothic"/>
              </w:rPr>
            </w:pPr>
            <w:r w:rsidRPr="00CD572E">
              <w:rPr>
                <w:rFonts w:ascii="Century Gothic" w:hAnsi="Century Gothic"/>
                <w:sz w:val="20"/>
                <w:szCs w:val="20"/>
              </w:rPr>
              <w:t xml:space="preserve">3) Identificar y trastocar la cultura de poder. </w:t>
            </w:r>
          </w:p>
          <w:p w:rsidR="00F470EF" w:rsidRPr="00CD572E" w:rsidRDefault="00CD572E">
            <w:pPr>
              <w:jc w:val="right"/>
              <w:rPr>
                <w:rFonts w:ascii="Century Gothic" w:hAnsi="Century Gothic"/>
              </w:rPr>
            </w:pPr>
            <w:r w:rsidRPr="00CD572E">
              <w:rPr>
                <w:rFonts w:ascii="Century Gothic" w:hAnsi="Century Gothic"/>
                <w:i/>
                <w:sz w:val="20"/>
                <w:szCs w:val="20"/>
              </w:rPr>
              <w:t>North (2006).</w:t>
            </w:r>
          </w:p>
        </w:tc>
      </w:tr>
      <w:tr w:rsidR="00F470EF" w:rsidTr="00CD572E">
        <w:tc>
          <w:tcPr>
            <w:tcW w:w="2985" w:type="dxa"/>
            <w:tcBorders>
              <w:left w:val="single" w:sz="8" w:space="0" w:color="000000"/>
              <w:bottom w:val="single" w:sz="8" w:space="0" w:color="000000"/>
              <w:right w:val="single" w:sz="8" w:space="0" w:color="000000"/>
            </w:tcBorders>
            <w:shd w:val="clear" w:color="auto" w:fill="70AD47" w:themeFill="accent6"/>
            <w:tcMar>
              <w:top w:w="100" w:type="dxa"/>
              <w:left w:w="100" w:type="dxa"/>
              <w:bottom w:w="100" w:type="dxa"/>
              <w:right w:w="100" w:type="dxa"/>
            </w:tcMar>
          </w:tcPr>
          <w:p w:rsidR="00F470EF" w:rsidRPr="00CD572E" w:rsidRDefault="00CD572E" w:rsidP="00CD572E">
            <w:pPr>
              <w:pStyle w:val="ListParagraph"/>
              <w:numPr>
                <w:ilvl w:val="0"/>
                <w:numId w:val="5"/>
              </w:numPr>
              <w:jc w:val="both"/>
              <w:rPr>
                <w:rFonts w:ascii="Century Gothic" w:hAnsi="Century Gothic"/>
              </w:rPr>
            </w:pPr>
            <w:r w:rsidRPr="00CD572E">
              <w:rPr>
                <w:rFonts w:ascii="Century Gothic" w:hAnsi="Century Gothic"/>
                <w:sz w:val="20"/>
                <w:szCs w:val="20"/>
              </w:rPr>
              <w:t xml:space="preserve">Los maestros pueden adaptar una variedad de formas de atención verbales y no verbales que se ajusten individualmente a los niños. Las formas verbales de </w:t>
            </w:r>
            <w:r w:rsidRPr="00CD572E">
              <w:rPr>
                <w:rFonts w:ascii="Century Gothic" w:hAnsi="Century Gothic"/>
                <w:sz w:val="20"/>
                <w:szCs w:val="20"/>
              </w:rPr>
              <w:lastRenderedPageBreak/>
              <w:t>atención incluyen muchos tipos de conve</w:t>
            </w:r>
            <w:r w:rsidRPr="00CD572E">
              <w:rPr>
                <w:rFonts w:ascii="Century Gothic" w:hAnsi="Century Gothic"/>
                <w:sz w:val="20"/>
                <w:szCs w:val="20"/>
              </w:rPr>
              <w:t>rsación entre los niños y los adultos, como los comentarios generales acerca del día, las sugerencias, las preguntas, las invitaciones, los retos, o las bromas. Las formas de atención verbal especialmente positivas incluyen el elogio, el estímulo, los cump</w:t>
            </w:r>
            <w:r w:rsidRPr="00CD572E">
              <w:rPr>
                <w:rFonts w:ascii="Century Gothic" w:hAnsi="Century Gothic"/>
                <w:sz w:val="20"/>
                <w:szCs w:val="20"/>
              </w:rPr>
              <w:t xml:space="preserve">lidos o halagos y las expresiones de afecto. </w:t>
            </w:r>
          </w:p>
        </w:tc>
        <w:tc>
          <w:tcPr>
            <w:tcW w:w="3345" w:type="dxa"/>
            <w:tcBorders>
              <w:bottom w:val="single" w:sz="8" w:space="0" w:color="000000"/>
              <w:right w:val="single" w:sz="8" w:space="0" w:color="000000"/>
            </w:tcBorders>
            <w:shd w:val="clear" w:color="auto" w:fill="5B9BD5" w:themeFill="accent1"/>
            <w:tcMar>
              <w:top w:w="100" w:type="dxa"/>
              <w:left w:w="100" w:type="dxa"/>
              <w:bottom w:w="100" w:type="dxa"/>
              <w:right w:w="100" w:type="dxa"/>
            </w:tcMar>
          </w:tcPr>
          <w:p w:rsidR="00F470EF" w:rsidRPr="00CD572E" w:rsidRDefault="00CD572E" w:rsidP="00CD572E">
            <w:pPr>
              <w:pStyle w:val="ListParagraph"/>
              <w:numPr>
                <w:ilvl w:val="0"/>
                <w:numId w:val="5"/>
              </w:numPr>
              <w:jc w:val="both"/>
              <w:rPr>
                <w:rFonts w:ascii="Century Gothic" w:hAnsi="Century Gothic"/>
              </w:rPr>
            </w:pPr>
            <w:r w:rsidRPr="00CD572E">
              <w:rPr>
                <w:rFonts w:ascii="Century Gothic" w:hAnsi="Century Gothic"/>
                <w:sz w:val="20"/>
                <w:szCs w:val="20"/>
              </w:rPr>
              <w:lastRenderedPageBreak/>
              <w:t xml:space="preserve">Las escuelas son el primer espacio social público de los alumnos, donde interactúan diariamente con la diversidad humana  es decir, personas que tienen diferentes creencias religiosas, diferente género o un </w:t>
            </w:r>
            <w:r w:rsidRPr="00CD572E">
              <w:rPr>
                <w:rFonts w:ascii="Century Gothic" w:hAnsi="Century Gothic"/>
                <w:sz w:val="20"/>
                <w:szCs w:val="20"/>
              </w:rPr>
              <w:lastRenderedPageBreak/>
              <w:t>ent</w:t>
            </w:r>
            <w:r w:rsidRPr="00CD572E">
              <w:rPr>
                <w:rFonts w:ascii="Century Gothic" w:hAnsi="Century Gothic"/>
                <w:sz w:val="20"/>
                <w:szCs w:val="20"/>
              </w:rPr>
              <w:t>orno social, económico, cultural ó étnico distinto, por lo mismo son  sitios clave de posible confrontación en donde los estudiantes entran en contacto con conflictos sociales tales como la exclusión, la marginación (violencia estructural) o la agresión co</w:t>
            </w:r>
            <w:r w:rsidRPr="00CD572E">
              <w:rPr>
                <w:rFonts w:ascii="Century Gothic" w:hAnsi="Century Gothic"/>
                <w:sz w:val="20"/>
                <w:szCs w:val="20"/>
              </w:rPr>
              <w:t>n conflictos sociales tales como la exclusión, la marginación (violencia estructural) o la agresión. Al mismo tiempo, estos también se convierten en espacios privilegiados donde los estudiantes pueden tener oportunidades para aprender a enfrentar estos con</w:t>
            </w:r>
            <w:r w:rsidRPr="00CD572E">
              <w:rPr>
                <w:rFonts w:ascii="Century Gothic" w:hAnsi="Century Gothic"/>
                <w:sz w:val="20"/>
                <w:szCs w:val="20"/>
              </w:rPr>
              <w:t>flictos en forma constructiva.</w:t>
            </w:r>
          </w:p>
        </w:tc>
        <w:tc>
          <w:tcPr>
            <w:tcW w:w="3030" w:type="dxa"/>
            <w:tcBorders>
              <w:bottom w:val="single" w:sz="8" w:space="0" w:color="000000"/>
              <w:right w:val="single" w:sz="8" w:space="0" w:color="000000"/>
            </w:tcBorders>
            <w:shd w:val="clear" w:color="auto" w:fill="FFFF00"/>
            <w:tcMar>
              <w:top w:w="100" w:type="dxa"/>
              <w:left w:w="100" w:type="dxa"/>
              <w:bottom w:w="100" w:type="dxa"/>
              <w:right w:w="100" w:type="dxa"/>
            </w:tcMar>
          </w:tcPr>
          <w:p w:rsidR="00F470EF" w:rsidRPr="00CD572E" w:rsidRDefault="00CD572E" w:rsidP="00CD572E">
            <w:pPr>
              <w:pStyle w:val="ListParagraph"/>
              <w:numPr>
                <w:ilvl w:val="0"/>
                <w:numId w:val="5"/>
              </w:numPr>
              <w:jc w:val="both"/>
              <w:rPr>
                <w:rFonts w:ascii="Century Gothic" w:hAnsi="Century Gothic"/>
              </w:rPr>
            </w:pPr>
            <w:r w:rsidRPr="00CD572E">
              <w:rPr>
                <w:rFonts w:ascii="Century Gothic" w:hAnsi="Century Gothic"/>
                <w:sz w:val="20"/>
                <w:szCs w:val="20"/>
              </w:rPr>
              <w:lastRenderedPageBreak/>
              <w:t xml:space="preserve">Las escuelas desarrollen procesos por los cuales los alumnos aprendan a regular sus emociones y sentimientos y practiquen formas de manejo de conflictos en las que </w:t>
            </w:r>
            <w:r w:rsidRPr="00CD572E">
              <w:rPr>
                <w:rFonts w:ascii="Century Gothic" w:hAnsi="Century Gothic"/>
                <w:sz w:val="20"/>
                <w:szCs w:val="20"/>
              </w:rPr>
              <w:lastRenderedPageBreak/>
              <w:t xml:space="preserve">prevalezcan las conversaciones. (Fierro) </w:t>
            </w:r>
          </w:p>
        </w:tc>
      </w:tr>
      <w:tr w:rsidR="00F470EF" w:rsidTr="00CD572E">
        <w:tc>
          <w:tcPr>
            <w:tcW w:w="2985" w:type="dxa"/>
            <w:tcBorders>
              <w:left w:val="single" w:sz="8" w:space="0" w:color="000000"/>
              <w:bottom w:val="single" w:sz="8" w:space="0" w:color="000000"/>
              <w:right w:val="single" w:sz="8" w:space="0" w:color="000000"/>
            </w:tcBorders>
            <w:shd w:val="clear" w:color="auto" w:fill="70AD47" w:themeFill="accent6"/>
            <w:tcMar>
              <w:top w:w="100" w:type="dxa"/>
              <w:left w:w="100" w:type="dxa"/>
              <w:bottom w:w="100" w:type="dxa"/>
              <w:right w:w="100" w:type="dxa"/>
            </w:tcMar>
          </w:tcPr>
          <w:p w:rsidR="00F470EF" w:rsidRPr="00CD572E" w:rsidRDefault="00CD572E" w:rsidP="00CD572E">
            <w:pPr>
              <w:pStyle w:val="ListParagraph"/>
              <w:numPr>
                <w:ilvl w:val="0"/>
                <w:numId w:val="5"/>
              </w:numPr>
              <w:jc w:val="both"/>
              <w:rPr>
                <w:rFonts w:ascii="Century Gothic" w:hAnsi="Century Gothic"/>
              </w:rPr>
            </w:pPr>
            <w:r w:rsidRPr="00CD572E">
              <w:rPr>
                <w:rFonts w:ascii="Century Gothic" w:hAnsi="Century Gothic"/>
                <w:sz w:val="20"/>
                <w:szCs w:val="20"/>
              </w:rPr>
              <w:t xml:space="preserve">Los valores deben </w:t>
            </w:r>
            <w:r w:rsidRPr="00CD572E">
              <w:rPr>
                <w:rFonts w:ascii="Century Gothic" w:hAnsi="Century Gothic"/>
                <w:sz w:val="20"/>
                <w:szCs w:val="20"/>
              </w:rPr>
              <w:t>formar parte del quehacer diario del profesor, los modelos de resolución pacífica de conflictos deben estar inmersos en las dinámicas del Aula y del Centro, y no abandonar nunca la esencia del trabajo que se realiza en las distintas asignaturas(Fierro C.20</w:t>
            </w:r>
            <w:r w:rsidRPr="00CD572E">
              <w:rPr>
                <w:rFonts w:ascii="Century Gothic" w:hAnsi="Century Gothic"/>
                <w:sz w:val="20"/>
                <w:szCs w:val="20"/>
              </w:rPr>
              <w:t>10)</w:t>
            </w:r>
          </w:p>
        </w:tc>
        <w:tc>
          <w:tcPr>
            <w:tcW w:w="3345" w:type="dxa"/>
            <w:tcBorders>
              <w:bottom w:val="single" w:sz="8" w:space="0" w:color="000000"/>
              <w:right w:val="single" w:sz="8" w:space="0" w:color="000000"/>
            </w:tcBorders>
            <w:shd w:val="clear" w:color="auto" w:fill="5B9BD5" w:themeFill="accent1"/>
            <w:tcMar>
              <w:top w:w="100" w:type="dxa"/>
              <w:left w:w="100" w:type="dxa"/>
              <w:bottom w:w="100" w:type="dxa"/>
              <w:right w:w="100" w:type="dxa"/>
            </w:tcMar>
          </w:tcPr>
          <w:p w:rsidR="00F470EF" w:rsidRPr="00CD572E" w:rsidRDefault="00CD572E" w:rsidP="00CD572E">
            <w:pPr>
              <w:pStyle w:val="ListParagraph"/>
              <w:numPr>
                <w:ilvl w:val="0"/>
                <w:numId w:val="5"/>
              </w:numPr>
              <w:jc w:val="both"/>
              <w:rPr>
                <w:rFonts w:ascii="Century Gothic" w:hAnsi="Century Gothic"/>
              </w:rPr>
            </w:pPr>
            <w:r w:rsidRPr="00CD572E">
              <w:rPr>
                <w:rFonts w:ascii="Century Gothic" w:hAnsi="Century Gothic"/>
                <w:sz w:val="20"/>
                <w:szCs w:val="20"/>
              </w:rPr>
              <w:t>Una educación crítica basada en los principios de respeto a los derechos humanos, considera la escuela como una esfera pública que proporciona la convivencia rica en su diversidad.  La inclusión para promover el aprendizaje de todos debe superar las pr</w:t>
            </w:r>
            <w:r w:rsidRPr="00CD572E">
              <w:rPr>
                <w:rFonts w:ascii="Century Gothic" w:hAnsi="Century Gothic"/>
                <w:sz w:val="20"/>
                <w:szCs w:val="20"/>
              </w:rPr>
              <w:t xml:space="preserve">ácticas que valoran la homogeneidad, la competición, en favor de prácticas que favorezcan la solidaridad, el trabajo cooperativo, el respecto por las diferencias, </w:t>
            </w:r>
            <w:r w:rsidRPr="00CD572E">
              <w:rPr>
                <w:rFonts w:ascii="Century Gothic" w:hAnsi="Century Gothic"/>
                <w:sz w:val="20"/>
                <w:szCs w:val="20"/>
              </w:rPr>
              <w:lastRenderedPageBreak/>
              <w:t>como también, la creencia de que los niños aprenden de maneras diferentes, por caminos difere</w:t>
            </w:r>
            <w:r w:rsidRPr="00CD572E">
              <w:rPr>
                <w:rFonts w:ascii="Century Gothic" w:hAnsi="Century Gothic"/>
                <w:sz w:val="20"/>
                <w:szCs w:val="20"/>
              </w:rPr>
              <w:t>ntes, incluso que pueden aprender cosas diferentes. (Fierro y Carneiro)</w:t>
            </w:r>
          </w:p>
        </w:tc>
        <w:tc>
          <w:tcPr>
            <w:tcW w:w="3030" w:type="dxa"/>
            <w:tcBorders>
              <w:bottom w:val="single" w:sz="8" w:space="0" w:color="000000"/>
              <w:right w:val="single" w:sz="8" w:space="0" w:color="000000"/>
            </w:tcBorders>
            <w:shd w:val="clear" w:color="auto" w:fill="FFFF00"/>
            <w:tcMar>
              <w:top w:w="100" w:type="dxa"/>
              <w:left w:w="100" w:type="dxa"/>
              <w:bottom w:w="100" w:type="dxa"/>
              <w:right w:w="100" w:type="dxa"/>
            </w:tcMar>
          </w:tcPr>
          <w:p w:rsidR="00F470EF" w:rsidRPr="00CD572E" w:rsidRDefault="00CD572E" w:rsidP="00CD572E">
            <w:pPr>
              <w:pStyle w:val="ListParagraph"/>
              <w:numPr>
                <w:ilvl w:val="0"/>
                <w:numId w:val="5"/>
              </w:numPr>
              <w:jc w:val="both"/>
              <w:rPr>
                <w:rFonts w:ascii="Century Gothic" w:hAnsi="Century Gothic"/>
              </w:rPr>
            </w:pPr>
            <w:r w:rsidRPr="00CD572E">
              <w:rPr>
                <w:rFonts w:ascii="Century Gothic" w:hAnsi="Century Gothic"/>
                <w:sz w:val="20"/>
                <w:szCs w:val="20"/>
              </w:rPr>
              <w:lastRenderedPageBreak/>
              <w:t>Utilizar en el trabajo en aula herramientas como el diálogo, la deliberación y el consenso, así como la participación en la formulación y seguimiento de normas tanto en el aula como en</w:t>
            </w:r>
            <w:r w:rsidRPr="00CD572E">
              <w:rPr>
                <w:rFonts w:ascii="Century Gothic" w:hAnsi="Century Gothic"/>
                <w:sz w:val="20"/>
                <w:szCs w:val="20"/>
              </w:rPr>
              <w:t xml:space="preserve"> la institución escolar (Fierro) </w:t>
            </w:r>
          </w:p>
        </w:tc>
      </w:tr>
      <w:tr w:rsidR="00F470EF" w:rsidTr="00CD572E">
        <w:tc>
          <w:tcPr>
            <w:tcW w:w="2985" w:type="dxa"/>
            <w:tcBorders>
              <w:left w:val="single" w:sz="8" w:space="0" w:color="000000"/>
              <w:bottom w:val="single" w:sz="8" w:space="0" w:color="000000"/>
              <w:right w:val="single" w:sz="8" w:space="0" w:color="000000"/>
            </w:tcBorders>
            <w:shd w:val="clear" w:color="auto" w:fill="70AD47" w:themeFill="accent6"/>
            <w:tcMar>
              <w:top w:w="100" w:type="dxa"/>
              <w:left w:w="100" w:type="dxa"/>
              <w:bottom w:w="100" w:type="dxa"/>
              <w:right w:w="100" w:type="dxa"/>
            </w:tcMar>
          </w:tcPr>
          <w:p w:rsidR="00F470EF" w:rsidRPr="00CD572E" w:rsidRDefault="00CD572E" w:rsidP="00CD572E">
            <w:pPr>
              <w:pStyle w:val="ListParagraph"/>
              <w:numPr>
                <w:ilvl w:val="0"/>
                <w:numId w:val="5"/>
              </w:numPr>
              <w:rPr>
                <w:rFonts w:ascii="Century Gothic" w:hAnsi="Century Gothic"/>
              </w:rPr>
            </w:pPr>
            <w:r w:rsidRPr="00CD572E">
              <w:rPr>
                <w:rFonts w:ascii="Century Gothic" w:hAnsi="Century Gothic"/>
                <w:sz w:val="20"/>
                <w:szCs w:val="20"/>
              </w:rPr>
              <w:t xml:space="preserve">El docente debe crear en el aula el concepto llamado </w:t>
            </w:r>
            <w:r w:rsidRPr="00CD572E">
              <w:rPr>
                <w:rFonts w:ascii="Century Gothic" w:hAnsi="Century Gothic"/>
                <w:i/>
                <w:sz w:val="20"/>
                <w:szCs w:val="20"/>
              </w:rPr>
              <w:t>construcción de la paz</w:t>
            </w:r>
          </w:p>
        </w:tc>
        <w:tc>
          <w:tcPr>
            <w:tcW w:w="3345" w:type="dxa"/>
            <w:tcBorders>
              <w:bottom w:val="single" w:sz="8" w:space="0" w:color="000000"/>
              <w:right w:val="single" w:sz="8" w:space="0" w:color="000000"/>
            </w:tcBorders>
            <w:shd w:val="clear" w:color="auto" w:fill="5B9BD5" w:themeFill="accent1"/>
            <w:tcMar>
              <w:top w:w="100" w:type="dxa"/>
              <w:left w:w="100" w:type="dxa"/>
              <w:bottom w:w="100" w:type="dxa"/>
              <w:right w:w="100" w:type="dxa"/>
            </w:tcMar>
          </w:tcPr>
          <w:p w:rsidR="00F470EF" w:rsidRPr="00CD572E" w:rsidRDefault="00CD572E" w:rsidP="00CD572E">
            <w:pPr>
              <w:pStyle w:val="ListParagraph"/>
              <w:numPr>
                <w:ilvl w:val="0"/>
                <w:numId w:val="5"/>
              </w:numPr>
              <w:rPr>
                <w:rFonts w:ascii="Century Gothic" w:hAnsi="Century Gothic"/>
              </w:rPr>
            </w:pPr>
            <w:r w:rsidRPr="00CD572E">
              <w:rPr>
                <w:rFonts w:ascii="Century Gothic" w:hAnsi="Century Gothic"/>
                <w:sz w:val="20"/>
                <w:szCs w:val="20"/>
              </w:rPr>
              <w:t>La convivencia democrática requiere reconceptualizarse desde una perspectiva de educación para la justicia social con el objeto de reconocer e in</w:t>
            </w:r>
            <w:r w:rsidRPr="00CD572E">
              <w:rPr>
                <w:rFonts w:ascii="Century Gothic" w:hAnsi="Century Gothic"/>
                <w:sz w:val="20"/>
                <w:szCs w:val="20"/>
              </w:rPr>
              <w:t>cluir la diversidad de los estudiantes.</w:t>
            </w:r>
          </w:p>
        </w:tc>
        <w:tc>
          <w:tcPr>
            <w:tcW w:w="3030" w:type="dxa"/>
            <w:tcBorders>
              <w:bottom w:val="single" w:sz="8" w:space="0" w:color="000000"/>
              <w:right w:val="single" w:sz="8" w:space="0" w:color="000000"/>
            </w:tcBorders>
            <w:shd w:val="clear" w:color="auto" w:fill="FFFF00"/>
            <w:tcMar>
              <w:top w:w="100" w:type="dxa"/>
              <w:left w:w="100" w:type="dxa"/>
              <w:bottom w:w="100" w:type="dxa"/>
              <w:right w:w="100" w:type="dxa"/>
            </w:tcMar>
          </w:tcPr>
          <w:p w:rsidR="00F470EF" w:rsidRPr="00CD572E" w:rsidRDefault="00CD572E" w:rsidP="00CD572E">
            <w:pPr>
              <w:pStyle w:val="ListParagraph"/>
              <w:numPr>
                <w:ilvl w:val="0"/>
                <w:numId w:val="5"/>
              </w:numPr>
              <w:jc w:val="both"/>
              <w:rPr>
                <w:rFonts w:ascii="Century Gothic" w:hAnsi="Century Gothic"/>
              </w:rPr>
            </w:pPr>
            <w:r w:rsidRPr="00CD572E">
              <w:rPr>
                <w:rFonts w:ascii="Century Gothic" w:hAnsi="Century Gothic"/>
                <w:sz w:val="20"/>
                <w:szCs w:val="20"/>
              </w:rPr>
              <w:t xml:space="preserve">Existe un tipo de enfoque para la convivencia democrática comparte características con las teorías curriculares de ‘eficiencia-social’ y está más orientado hacia la </w:t>
            </w:r>
            <w:r w:rsidRPr="00CD572E">
              <w:rPr>
                <w:rFonts w:ascii="Century Gothic" w:hAnsi="Century Gothic"/>
                <w:i/>
                <w:sz w:val="20"/>
                <w:szCs w:val="20"/>
              </w:rPr>
              <w:t>contención de la violencia escolar</w:t>
            </w:r>
            <w:r w:rsidRPr="00CD572E">
              <w:rPr>
                <w:rFonts w:ascii="Century Gothic" w:hAnsi="Century Gothic"/>
                <w:sz w:val="20"/>
                <w:szCs w:val="20"/>
              </w:rPr>
              <w:t xml:space="preserve"> </w:t>
            </w:r>
            <w:r w:rsidRPr="00CD572E">
              <w:rPr>
                <w:rFonts w:ascii="Century Gothic" w:hAnsi="Century Gothic"/>
                <w:sz w:val="20"/>
                <w:szCs w:val="20"/>
              </w:rPr>
              <w:t>Carbajal P. (2013) Conv</w:t>
            </w:r>
            <w:r w:rsidRPr="00CD572E">
              <w:rPr>
                <w:rFonts w:ascii="Century Gothic" w:hAnsi="Century Gothic"/>
                <w:sz w:val="20"/>
                <w:szCs w:val="20"/>
              </w:rPr>
              <w:t>ivencia democrática en las escuelas.</w:t>
            </w:r>
          </w:p>
        </w:tc>
      </w:tr>
    </w:tbl>
    <w:p w:rsidR="00F470EF" w:rsidRDefault="00F470EF"/>
    <w:sectPr w:rsidR="00F470E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683"/>
    <w:multiLevelType w:val="multilevel"/>
    <w:tmpl w:val="C2FCD3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A5A75B9"/>
    <w:multiLevelType w:val="multilevel"/>
    <w:tmpl w:val="11CADF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D7641F5"/>
    <w:multiLevelType w:val="multilevel"/>
    <w:tmpl w:val="4148C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729599E"/>
    <w:multiLevelType w:val="multilevel"/>
    <w:tmpl w:val="844CD6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F2E54AB"/>
    <w:multiLevelType w:val="hybridMultilevel"/>
    <w:tmpl w:val="22CAF2A6"/>
    <w:lvl w:ilvl="0" w:tplc="86E0A6C4">
      <w:numFmt w:val="bullet"/>
      <w:lvlText w:val=""/>
      <w:lvlJc w:val="left"/>
      <w:pPr>
        <w:ind w:left="720" w:hanging="360"/>
      </w:pPr>
      <w:rPr>
        <w:rFonts w:ascii="Symbol" w:eastAsia="Arial" w:hAnsi="Symbol" w:cs="Arial" w:hint="default"/>
        <w:sz w:val="20"/>
      </w:rPr>
    </w:lvl>
    <w:lvl w:ilvl="1" w:tplc="04760003" w:tentative="1">
      <w:start w:val="1"/>
      <w:numFmt w:val="bullet"/>
      <w:lvlText w:val="o"/>
      <w:lvlJc w:val="left"/>
      <w:pPr>
        <w:ind w:left="1440" w:hanging="360"/>
      </w:pPr>
      <w:rPr>
        <w:rFonts w:ascii="Courier New" w:hAnsi="Courier New" w:cs="Courier New" w:hint="default"/>
      </w:rPr>
    </w:lvl>
    <w:lvl w:ilvl="2" w:tplc="04760005" w:tentative="1">
      <w:start w:val="1"/>
      <w:numFmt w:val="bullet"/>
      <w:lvlText w:val=""/>
      <w:lvlJc w:val="left"/>
      <w:pPr>
        <w:ind w:left="2160" w:hanging="360"/>
      </w:pPr>
      <w:rPr>
        <w:rFonts w:ascii="Wingdings" w:hAnsi="Wingdings" w:hint="default"/>
      </w:rPr>
    </w:lvl>
    <w:lvl w:ilvl="3" w:tplc="04760001" w:tentative="1">
      <w:start w:val="1"/>
      <w:numFmt w:val="bullet"/>
      <w:lvlText w:val=""/>
      <w:lvlJc w:val="left"/>
      <w:pPr>
        <w:ind w:left="2880" w:hanging="360"/>
      </w:pPr>
      <w:rPr>
        <w:rFonts w:ascii="Symbol" w:hAnsi="Symbol" w:hint="default"/>
      </w:rPr>
    </w:lvl>
    <w:lvl w:ilvl="4" w:tplc="04760003" w:tentative="1">
      <w:start w:val="1"/>
      <w:numFmt w:val="bullet"/>
      <w:lvlText w:val="o"/>
      <w:lvlJc w:val="left"/>
      <w:pPr>
        <w:ind w:left="3600" w:hanging="360"/>
      </w:pPr>
      <w:rPr>
        <w:rFonts w:ascii="Courier New" w:hAnsi="Courier New" w:cs="Courier New" w:hint="default"/>
      </w:rPr>
    </w:lvl>
    <w:lvl w:ilvl="5" w:tplc="04760005" w:tentative="1">
      <w:start w:val="1"/>
      <w:numFmt w:val="bullet"/>
      <w:lvlText w:val=""/>
      <w:lvlJc w:val="left"/>
      <w:pPr>
        <w:ind w:left="4320" w:hanging="360"/>
      </w:pPr>
      <w:rPr>
        <w:rFonts w:ascii="Wingdings" w:hAnsi="Wingdings" w:hint="default"/>
      </w:rPr>
    </w:lvl>
    <w:lvl w:ilvl="6" w:tplc="04760001" w:tentative="1">
      <w:start w:val="1"/>
      <w:numFmt w:val="bullet"/>
      <w:lvlText w:val=""/>
      <w:lvlJc w:val="left"/>
      <w:pPr>
        <w:ind w:left="5040" w:hanging="360"/>
      </w:pPr>
      <w:rPr>
        <w:rFonts w:ascii="Symbol" w:hAnsi="Symbol" w:hint="default"/>
      </w:rPr>
    </w:lvl>
    <w:lvl w:ilvl="7" w:tplc="04760003" w:tentative="1">
      <w:start w:val="1"/>
      <w:numFmt w:val="bullet"/>
      <w:lvlText w:val="o"/>
      <w:lvlJc w:val="left"/>
      <w:pPr>
        <w:ind w:left="5760" w:hanging="360"/>
      </w:pPr>
      <w:rPr>
        <w:rFonts w:ascii="Courier New" w:hAnsi="Courier New" w:cs="Courier New" w:hint="default"/>
      </w:rPr>
    </w:lvl>
    <w:lvl w:ilvl="8" w:tplc="047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compat>
    <w:compatSetting w:name="compatibilityMode" w:uri="http://schemas.microsoft.com/office/word" w:val="14"/>
  </w:compat>
  <w:rsids>
    <w:rsidRoot w:val="00F470EF"/>
    <w:rsid w:val="00CD572E"/>
    <w:rsid w:val="00F470EF"/>
  </w:rsids>
  <m:mathPr>
    <m:mathFont m:val="Cambria Math"/>
    <m:brkBin m:val="before"/>
    <m:brkBinSub m:val="--"/>
    <m:smallFrac m:val="0"/>
    <m:dispDef/>
    <m:lMargin m:val="0"/>
    <m:rMargin m:val="0"/>
    <m:defJc m:val="centerGroup"/>
    <m:wrapIndent m:val="1440"/>
    <m:intLim m:val="subSup"/>
    <m:naryLim m:val="undOvr"/>
  </m:mathPr>
  <w:themeFontLang w:val="la-Lat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FBBB"/>
  <w15:docId w15:val="{7EAB9258-C551-41E1-8804-B1092BEB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la-Latn" w:eastAsia="la-Latn"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D5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 Tovias</cp:lastModifiedBy>
  <cp:revision>2</cp:revision>
  <dcterms:created xsi:type="dcterms:W3CDTF">2016-10-27T02:18:00Z</dcterms:created>
  <dcterms:modified xsi:type="dcterms:W3CDTF">2016-10-27T02:23:00Z</dcterms:modified>
</cp:coreProperties>
</file>