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3642" w:type="dxa"/>
        <w:tblLook w:val="04A0" w:firstRow="1" w:lastRow="0" w:firstColumn="1" w:lastColumn="0" w:noHBand="0" w:noVBand="1"/>
      </w:tblPr>
      <w:tblGrid>
        <w:gridCol w:w="6821"/>
        <w:gridCol w:w="6821"/>
      </w:tblGrid>
      <w:tr w:rsidR="0057750A" w:rsidTr="0057750A">
        <w:trPr>
          <w:trHeight w:val="501"/>
        </w:trPr>
        <w:tc>
          <w:tcPr>
            <w:tcW w:w="6821" w:type="dxa"/>
            <w:shd w:val="clear" w:color="auto" w:fill="CCF0F8"/>
          </w:tcPr>
          <w:p w:rsidR="0057750A" w:rsidRPr="0057750A" w:rsidRDefault="0057750A" w:rsidP="0057750A">
            <w:pPr>
              <w:jc w:val="center"/>
              <w:rPr>
                <w:rFonts w:ascii="Algerian" w:hAnsi="Algerian"/>
                <w:color w:val="004376"/>
                <w:sz w:val="36"/>
                <w:szCs w:val="36"/>
              </w:rPr>
            </w:pPr>
            <w:r w:rsidRPr="0057750A">
              <w:rPr>
                <w:rFonts w:ascii="Algerian" w:hAnsi="Algerian"/>
                <w:color w:val="004376"/>
                <w:sz w:val="36"/>
                <w:szCs w:val="36"/>
              </w:rPr>
              <w:t>Autores Año</w:t>
            </w:r>
          </w:p>
        </w:tc>
        <w:tc>
          <w:tcPr>
            <w:tcW w:w="6821" w:type="dxa"/>
            <w:shd w:val="clear" w:color="auto" w:fill="CCF0F8"/>
          </w:tcPr>
          <w:p w:rsidR="0057750A" w:rsidRPr="0057750A" w:rsidRDefault="0057750A" w:rsidP="0057750A">
            <w:pPr>
              <w:jc w:val="center"/>
              <w:rPr>
                <w:rFonts w:ascii="Algerian" w:hAnsi="Algerian"/>
                <w:color w:val="004376"/>
                <w:sz w:val="36"/>
                <w:szCs w:val="36"/>
              </w:rPr>
            </w:pPr>
            <w:r w:rsidRPr="0057750A">
              <w:rPr>
                <w:rFonts w:ascii="Algerian" w:hAnsi="Algerian"/>
                <w:color w:val="004376"/>
                <w:sz w:val="36"/>
                <w:szCs w:val="36"/>
              </w:rPr>
              <w:t>Teoría  Descripción</w:t>
            </w:r>
          </w:p>
        </w:tc>
      </w:tr>
      <w:tr w:rsidR="0057750A" w:rsidTr="0057750A">
        <w:trPr>
          <w:trHeight w:val="563"/>
        </w:trPr>
        <w:tc>
          <w:tcPr>
            <w:tcW w:w="6821" w:type="dxa"/>
          </w:tcPr>
          <w:p w:rsidR="0057750A" w:rsidRDefault="0057750A" w:rsidP="0057750A">
            <w:pPr>
              <w:jc w:val="center"/>
            </w:pPr>
            <w:r>
              <w:t>CLARK 1996</w:t>
            </w:r>
          </w:p>
        </w:tc>
        <w:tc>
          <w:tcPr>
            <w:tcW w:w="6821" w:type="dxa"/>
          </w:tcPr>
          <w:p w:rsidR="0057750A" w:rsidRDefault="0057750A" w:rsidP="0057750A">
            <w:pPr>
              <w:jc w:val="center"/>
            </w:pPr>
            <w:r>
              <w:t>Los estudios del lenguaje pueden ser enfocados con uno u otro objetivo, es decir pueden centrarse en el producto o en la actividad.</w:t>
            </w:r>
          </w:p>
        </w:tc>
      </w:tr>
      <w:tr w:rsidR="0057750A" w:rsidTr="0057750A">
        <w:trPr>
          <w:trHeight w:val="563"/>
        </w:trPr>
        <w:tc>
          <w:tcPr>
            <w:tcW w:w="6821" w:type="dxa"/>
          </w:tcPr>
          <w:p w:rsidR="0057750A" w:rsidRDefault="00EC13F7" w:rsidP="00EC13F7">
            <w:pPr>
              <w:jc w:val="center"/>
            </w:pPr>
            <w:r>
              <w:t>MC WHINNEY 1999</w:t>
            </w:r>
            <w:r w:rsidR="009A3DA2">
              <w:t>, BATES 1988.</w:t>
            </w:r>
          </w:p>
        </w:tc>
        <w:tc>
          <w:tcPr>
            <w:tcW w:w="6821" w:type="dxa"/>
          </w:tcPr>
          <w:p w:rsidR="0057750A" w:rsidRPr="00CD4A6E" w:rsidRDefault="00EC13F7">
            <w:pPr>
              <w:rPr>
                <w:color w:val="FF0000"/>
              </w:rPr>
            </w:pPr>
            <w:r w:rsidRPr="00CD4A6E">
              <w:rPr>
                <w:color w:val="FF0000"/>
              </w:rPr>
              <w:t>Constructivismo emergentista.</w:t>
            </w:r>
          </w:p>
          <w:p w:rsidR="00EC13F7" w:rsidRDefault="00EC13F7">
            <w:r>
              <w:t xml:space="preserve">Los cambios en la evolución y el desarrollo hacen emerger nuevas estructuras y habilidades previamente inexistentes </w:t>
            </w:r>
          </w:p>
        </w:tc>
      </w:tr>
      <w:tr w:rsidR="0057750A" w:rsidTr="0057750A">
        <w:trPr>
          <w:trHeight w:val="563"/>
        </w:trPr>
        <w:tc>
          <w:tcPr>
            <w:tcW w:w="6821" w:type="dxa"/>
          </w:tcPr>
          <w:p w:rsidR="0057750A" w:rsidRDefault="0090703D" w:rsidP="00EC13F7">
            <w:pPr>
              <w:jc w:val="center"/>
            </w:pPr>
            <w:r w:rsidRPr="00F4635C">
              <w:rPr>
                <w:sz w:val="28"/>
                <w:szCs w:val="28"/>
              </w:rPr>
              <w:t>(Piaget, 1923)</w:t>
            </w:r>
          </w:p>
        </w:tc>
        <w:tc>
          <w:tcPr>
            <w:tcW w:w="6821" w:type="dxa"/>
          </w:tcPr>
          <w:p w:rsidR="0057750A" w:rsidRPr="0090703D" w:rsidRDefault="0090703D">
            <w:pPr>
              <w:rPr>
                <w:szCs w:val="24"/>
              </w:rPr>
            </w:pPr>
            <w:r w:rsidRPr="0090703D">
              <w:rPr>
                <w:szCs w:val="24"/>
              </w:rPr>
              <w:t>Considera el lenguaje como una forma de función simbólica.</w:t>
            </w:r>
          </w:p>
        </w:tc>
      </w:tr>
      <w:tr w:rsidR="0057750A" w:rsidTr="0057750A">
        <w:trPr>
          <w:trHeight w:val="583"/>
        </w:trPr>
        <w:tc>
          <w:tcPr>
            <w:tcW w:w="6821" w:type="dxa"/>
          </w:tcPr>
          <w:p w:rsidR="0057750A" w:rsidRDefault="0090703D" w:rsidP="0090703D">
            <w:pPr>
              <w:jc w:val="center"/>
            </w:pPr>
            <w:r w:rsidRPr="00F4635C">
              <w:rPr>
                <w:sz w:val="28"/>
                <w:szCs w:val="28"/>
              </w:rPr>
              <w:t>(</w:t>
            </w:r>
            <w:proofErr w:type="spellStart"/>
            <w:r w:rsidRPr="00F4635C">
              <w:rPr>
                <w:sz w:val="28"/>
                <w:szCs w:val="28"/>
              </w:rPr>
              <w:t>Lehrman</w:t>
            </w:r>
            <w:proofErr w:type="spellEnd"/>
            <w:r w:rsidRPr="00F4635C">
              <w:rPr>
                <w:sz w:val="28"/>
                <w:szCs w:val="28"/>
              </w:rPr>
              <w:t>, 1953)</w:t>
            </w:r>
          </w:p>
        </w:tc>
        <w:tc>
          <w:tcPr>
            <w:tcW w:w="6821" w:type="dxa"/>
          </w:tcPr>
          <w:p w:rsidR="0057750A" w:rsidRPr="0090703D" w:rsidRDefault="0090703D">
            <w:pPr>
              <w:rPr>
                <w:szCs w:val="24"/>
              </w:rPr>
            </w:pPr>
            <w:r w:rsidRPr="0090703D">
              <w:rPr>
                <w:szCs w:val="24"/>
              </w:rPr>
              <w:t>Parece necesario que tanto la noción de lo innato como la de adquirido se precise y quizás se rectifique especialmente si se diera el caso de que para alguien innato significa que no se necesite lo aprendido para que se desarrolle.</w:t>
            </w:r>
          </w:p>
        </w:tc>
      </w:tr>
      <w:tr w:rsidR="0090703D" w:rsidTr="0057750A">
        <w:trPr>
          <w:trHeight w:val="583"/>
        </w:trPr>
        <w:tc>
          <w:tcPr>
            <w:tcW w:w="6821" w:type="dxa"/>
          </w:tcPr>
          <w:p w:rsidR="0090703D" w:rsidRPr="00F4635C" w:rsidRDefault="0090703D" w:rsidP="0090703D">
            <w:pPr>
              <w:jc w:val="center"/>
              <w:rPr>
                <w:sz w:val="28"/>
                <w:szCs w:val="28"/>
              </w:rPr>
            </w:pPr>
            <w:r w:rsidRPr="00F4635C">
              <w:rPr>
                <w:sz w:val="28"/>
                <w:szCs w:val="28"/>
              </w:rPr>
              <w:t>(</w:t>
            </w:r>
            <w:proofErr w:type="spellStart"/>
            <w:r w:rsidRPr="00F4635C">
              <w:rPr>
                <w:sz w:val="28"/>
                <w:szCs w:val="28"/>
              </w:rPr>
              <w:t>Vigotsky</w:t>
            </w:r>
            <w:proofErr w:type="spellEnd"/>
            <w:r w:rsidRPr="00F4635C">
              <w:rPr>
                <w:sz w:val="28"/>
                <w:szCs w:val="28"/>
              </w:rPr>
              <w:t>, 1962)</w:t>
            </w:r>
          </w:p>
        </w:tc>
        <w:tc>
          <w:tcPr>
            <w:tcW w:w="6821" w:type="dxa"/>
          </w:tcPr>
          <w:p w:rsidR="0090703D" w:rsidRPr="0090703D" w:rsidRDefault="0090703D" w:rsidP="0090703D">
            <w:pPr>
              <w:rPr>
                <w:szCs w:val="24"/>
              </w:rPr>
            </w:pPr>
            <w:r w:rsidRPr="0090703D">
              <w:rPr>
                <w:szCs w:val="24"/>
              </w:rPr>
              <w:t>Lo considera como la interiorización de una herramienta social de mediación semiótica entre la actividad y su representación no postuló como necesaria alguna especialización para el lenguaje.</w:t>
            </w:r>
          </w:p>
          <w:p w:rsidR="0090703D" w:rsidRPr="0090703D" w:rsidRDefault="0090703D">
            <w:pPr>
              <w:rPr>
                <w:szCs w:val="24"/>
              </w:rPr>
            </w:pPr>
          </w:p>
        </w:tc>
      </w:tr>
      <w:tr w:rsidR="0090703D" w:rsidTr="0057750A">
        <w:trPr>
          <w:trHeight w:val="583"/>
        </w:trPr>
        <w:tc>
          <w:tcPr>
            <w:tcW w:w="6821" w:type="dxa"/>
          </w:tcPr>
          <w:p w:rsidR="0090703D" w:rsidRPr="00F4635C" w:rsidRDefault="0090703D" w:rsidP="0090703D">
            <w:pPr>
              <w:jc w:val="center"/>
              <w:rPr>
                <w:sz w:val="28"/>
                <w:szCs w:val="28"/>
              </w:rPr>
            </w:pPr>
            <w:r w:rsidRPr="00F4635C">
              <w:rPr>
                <w:sz w:val="28"/>
                <w:szCs w:val="28"/>
              </w:rPr>
              <w:t>(Chomsky, 1965; 1995)</w:t>
            </w:r>
          </w:p>
        </w:tc>
        <w:tc>
          <w:tcPr>
            <w:tcW w:w="6821" w:type="dxa"/>
          </w:tcPr>
          <w:p w:rsidR="0090703D" w:rsidRPr="0090703D" w:rsidRDefault="0090703D" w:rsidP="0090703D">
            <w:pPr>
              <w:rPr>
                <w:szCs w:val="24"/>
              </w:rPr>
            </w:pPr>
            <w:r w:rsidRPr="0090703D">
              <w:rPr>
                <w:szCs w:val="24"/>
              </w:rPr>
              <w:t xml:space="preserve">Concibe  el lenguaje  como una facultad independiente de las otras facultades mentales o cognitivas. </w:t>
            </w:r>
          </w:p>
          <w:p w:rsidR="0090703D" w:rsidRPr="0090703D" w:rsidRDefault="0090703D">
            <w:pPr>
              <w:rPr>
                <w:szCs w:val="24"/>
              </w:rPr>
            </w:pPr>
          </w:p>
        </w:tc>
      </w:tr>
      <w:tr w:rsidR="0090703D" w:rsidTr="0057750A">
        <w:trPr>
          <w:trHeight w:val="583"/>
        </w:trPr>
        <w:tc>
          <w:tcPr>
            <w:tcW w:w="6821" w:type="dxa"/>
          </w:tcPr>
          <w:p w:rsidR="0090703D" w:rsidRPr="00953067" w:rsidRDefault="0090703D" w:rsidP="0090703D">
            <w:pPr>
              <w:jc w:val="center"/>
              <w:rPr>
                <w:sz w:val="28"/>
                <w:szCs w:val="28"/>
                <w:lang w:val="en-US"/>
              </w:rPr>
            </w:pPr>
            <w:r w:rsidRPr="00953067">
              <w:rPr>
                <w:sz w:val="28"/>
                <w:szCs w:val="28"/>
                <w:lang w:val="en-US"/>
              </w:rPr>
              <w:t xml:space="preserve">(Fodor, </w:t>
            </w:r>
            <w:proofErr w:type="spellStart"/>
            <w:r w:rsidRPr="00953067">
              <w:rPr>
                <w:sz w:val="28"/>
                <w:szCs w:val="28"/>
                <w:lang w:val="en-US"/>
              </w:rPr>
              <w:t>Bever</w:t>
            </w:r>
            <w:proofErr w:type="spellEnd"/>
            <w:r w:rsidRPr="00953067">
              <w:rPr>
                <w:sz w:val="28"/>
                <w:szCs w:val="28"/>
                <w:lang w:val="en-US"/>
              </w:rPr>
              <w:t xml:space="preserve"> Garret, 1974; Fodor 1983) (Chomsky, </w:t>
            </w:r>
            <w:r w:rsidRPr="00953067">
              <w:rPr>
                <w:sz w:val="28"/>
                <w:szCs w:val="28"/>
                <w:lang w:val="en-US"/>
              </w:rPr>
              <w:lastRenderedPageBreak/>
              <w:t>1959; 1986)</w:t>
            </w:r>
          </w:p>
        </w:tc>
        <w:tc>
          <w:tcPr>
            <w:tcW w:w="6821" w:type="dxa"/>
          </w:tcPr>
          <w:p w:rsidR="0090703D" w:rsidRPr="0090703D" w:rsidRDefault="0090703D" w:rsidP="0090703D">
            <w:pPr>
              <w:rPr>
                <w:szCs w:val="24"/>
              </w:rPr>
            </w:pPr>
            <w:r w:rsidRPr="0090703D">
              <w:rPr>
                <w:szCs w:val="24"/>
              </w:rPr>
              <w:lastRenderedPageBreak/>
              <w:t>Son exponentes del pragmatismo. Estos autores parten de argumentos basados en hechos.</w:t>
            </w:r>
          </w:p>
          <w:p w:rsidR="0090703D" w:rsidRPr="0090703D" w:rsidRDefault="0090703D">
            <w:pPr>
              <w:rPr>
                <w:szCs w:val="24"/>
              </w:rPr>
            </w:pPr>
          </w:p>
        </w:tc>
      </w:tr>
      <w:tr w:rsidR="0090703D" w:rsidTr="0057750A">
        <w:trPr>
          <w:trHeight w:val="583"/>
        </w:trPr>
        <w:tc>
          <w:tcPr>
            <w:tcW w:w="6821" w:type="dxa"/>
          </w:tcPr>
          <w:p w:rsidR="0090703D" w:rsidRPr="00F4635C" w:rsidRDefault="0090703D" w:rsidP="0090703D">
            <w:pPr>
              <w:jc w:val="center"/>
              <w:rPr>
                <w:sz w:val="28"/>
                <w:szCs w:val="28"/>
              </w:rPr>
            </w:pPr>
            <w:r w:rsidRPr="00F4635C">
              <w:rPr>
                <w:sz w:val="28"/>
                <w:szCs w:val="28"/>
              </w:rPr>
              <w:lastRenderedPageBreak/>
              <w:t>(</w:t>
            </w:r>
            <w:proofErr w:type="spellStart"/>
            <w:r w:rsidRPr="00F4635C">
              <w:rPr>
                <w:sz w:val="28"/>
                <w:szCs w:val="28"/>
              </w:rPr>
              <w:t>Bresnan</w:t>
            </w:r>
            <w:proofErr w:type="spellEnd"/>
            <w:r w:rsidRPr="00F4635C">
              <w:rPr>
                <w:sz w:val="28"/>
                <w:szCs w:val="28"/>
              </w:rPr>
              <w:t xml:space="preserve">, </w:t>
            </w:r>
            <w:proofErr w:type="spellStart"/>
            <w:r w:rsidRPr="00F4635C">
              <w:rPr>
                <w:sz w:val="28"/>
                <w:szCs w:val="28"/>
              </w:rPr>
              <w:t>léxical</w:t>
            </w:r>
            <w:proofErr w:type="spellEnd"/>
            <w:r w:rsidRPr="00F4635C">
              <w:rPr>
                <w:sz w:val="28"/>
                <w:szCs w:val="28"/>
              </w:rPr>
              <w:t xml:space="preserve"> </w:t>
            </w:r>
            <w:proofErr w:type="spellStart"/>
            <w:r w:rsidRPr="00F4635C">
              <w:rPr>
                <w:sz w:val="28"/>
                <w:szCs w:val="28"/>
              </w:rPr>
              <w:t>grammar</w:t>
            </w:r>
            <w:proofErr w:type="spellEnd"/>
            <w:r w:rsidRPr="00F4635C">
              <w:rPr>
                <w:sz w:val="28"/>
                <w:szCs w:val="28"/>
              </w:rPr>
              <w:t>, 1982)</w:t>
            </w:r>
          </w:p>
        </w:tc>
        <w:tc>
          <w:tcPr>
            <w:tcW w:w="6821" w:type="dxa"/>
          </w:tcPr>
          <w:p w:rsidR="0090703D" w:rsidRPr="0090703D" w:rsidRDefault="0090703D" w:rsidP="0090703D">
            <w:pPr>
              <w:rPr>
                <w:szCs w:val="24"/>
              </w:rPr>
            </w:pPr>
            <w:r w:rsidRPr="0090703D">
              <w:rPr>
                <w:szCs w:val="24"/>
              </w:rPr>
              <w:t xml:space="preserve">Considera que el léxico es el componente central de la gramática y, por ende, de la facultad de lenguaje, puesto que ya contienen  toda la información sintáctica que las reglas encargan de proyectar hacia los enunciados. </w:t>
            </w:r>
          </w:p>
          <w:p w:rsidR="0090703D" w:rsidRPr="0090703D" w:rsidRDefault="0090703D">
            <w:pPr>
              <w:rPr>
                <w:szCs w:val="24"/>
              </w:rPr>
            </w:pPr>
          </w:p>
        </w:tc>
      </w:tr>
      <w:tr w:rsidR="0090703D" w:rsidTr="0057750A">
        <w:trPr>
          <w:trHeight w:val="583"/>
        </w:trPr>
        <w:tc>
          <w:tcPr>
            <w:tcW w:w="6821" w:type="dxa"/>
          </w:tcPr>
          <w:p w:rsidR="0090703D" w:rsidRPr="00F4635C" w:rsidRDefault="0090703D" w:rsidP="0090703D">
            <w:pPr>
              <w:jc w:val="center"/>
              <w:rPr>
                <w:sz w:val="28"/>
                <w:szCs w:val="28"/>
              </w:rPr>
            </w:pPr>
            <w:r w:rsidRPr="00F4635C">
              <w:rPr>
                <w:sz w:val="28"/>
                <w:szCs w:val="28"/>
              </w:rPr>
              <w:t>(</w:t>
            </w:r>
            <w:proofErr w:type="spellStart"/>
            <w:r w:rsidRPr="00F4635C">
              <w:rPr>
                <w:sz w:val="28"/>
                <w:szCs w:val="28"/>
              </w:rPr>
              <w:t>Fodor</w:t>
            </w:r>
            <w:proofErr w:type="spellEnd"/>
            <w:r w:rsidRPr="00F4635C">
              <w:rPr>
                <w:sz w:val="28"/>
                <w:szCs w:val="28"/>
              </w:rPr>
              <w:t>, 1983)</w:t>
            </w:r>
          </w:p>
        </w:tc>
        <w:tc>
          <w:tcPr>
            <w:tcW w:w="6821" w:type="dxa"/>
          </w:tcPr>
          <w:p w:rsidR="0090703D" w:rsidRPr="0090703D" w:rsidRDefault="0090703D" w:rsidP="0090703D">
            <w:pPr>
              <w:rPr>
                <w:szCs w:val="24"/>
              </w:rPr>
            </w:pPr>
            <w:r w:rsidRPr="0090703D">
              <w:rPr>
                <w:szCs w:val="24"/>
              </w:rPr>
              <w:t xml:space="preserve">Concibe el lenguaje como un módulo es decir, un sistema encapsulado. </w:t>
            </w:r>
          </w:p>
          <w:p w:rsidR="0090703D" w:rsidRPr="0090703D" w:rsidRDefault="0090703D" w:rsidP="0090703D">
            <w:pPr>
              <w:rPr>
                <w:szCs w:val="24"/>
              </w:rPr>
            </w:pPr>
          </w:p>
        </w:tc>
      </w:tr>
      <w:tr w:rsidR="0090703D" w:rsidTr="0057750A">
        <w:trPr>
          <w:trHeight w:val="583"/>
        </w:trPr>
        <w:tc>
          <w:tcPr>
            <w:tcW w:w="6821" w:type="dxa"/>
          </w:tcPr>
          <w:p w:rsidR="0090703D" w:rsidRPr="00F4635C" w:rsidRDefault="0090703D" w:rsidP="0090703D">
            <w:pPr>
              <w:jc w:val="center"/>
              <w:rPr>
                <w:sz w:val="28"/>
                <w:szCs w:val="28"/>
              </w:rPr>
            </w:pPr>
            <w:r w:rsidRPr="00F4635C">
              <w:rPr>
                <w:sz w:val="28"/>
                <w:szCs w:val="28"/>
              </w:rPr>
              <w:t>(</w:t>
            </w:r>
            <w:proofErr w:type="spellStart"/>
            <w:r w:rsidRPr="00F4635C">
              <w:rPr>
                <w:sz w:val="28"/>
                <w:szCs w:val="28"/>
              </w:rPr>
              <w:t>Pinker</w:t>
            </w:r>
            <w:proofErr w:type="spellEnd"/>
            <w:r w:rsidRPr="00F4635C">
              <w:rPr>
                <w:sz w:val="28"/>
                <w:szCs w:val="28"/>
              </w:rPr>
              <w:t>, 1984)</w:t>
            </w:r>
          </w:p>
        </w:tc>
        <w:tc>
          <w:tcPr>
            <w:tcW w:w="6821" w:type="dxa"/>
          </w:tcPr>
          <w:p w:rsidR="0090703D" w:rsidRPr="0090703D" w:rsidRDefault="0090703D" w:rsidP="0090703D">
            <w:pPr>
              <w:rPr>
                <w:szCs w:val="24"/>
              </w:rPr>
            </w:pPr>
            <w:r w:rsidRPr="0090703D">
              <w:rPr>
                <w:szCs w:val="24"/>
              </w:rPr>
              <w:t>Cree que la puesta en marcha de la sintaxis de realiza gracias al componente semántico.</w:t>
            </w:r>
          </w:p>
          <w:p w:rsidR="0090703D" w:rsidRPr="0090703D" w:rsidRDefault="0090703D" w:rsidP="0090703D">
            <w:pPr>
              <w:rPr>
                <w:szCs w:val="24"/>
              </w:rPr>
            </w:pPr>
          </w:p>
        </w:tc>
      </w:tr>
      <w:tr w:rsidR="0090703D" w:rsidTr="0057750A">
        <w:trPr>
          <w:trHeight w:val="583"/>
        </w:trPr>
        <w:tc>
          <w:tcPr>
            <w:tcW w:w="6821" w:type="dxa"/>
          </w:tcPr>
          <w:p w:rsidR="0090703D" w:rsidRPr="00F4635C" w:rsidRDefault="0090703D" w:rsidP="0090703D">
            <w:pPr>
              <w:jc w:val="center"/>
              <w:rPr>
                <w:sz w:val="28"/>
                <w:szCs w:val="28"/>
              </w:rPr>
            </w:pPr>
            <w:r w:rsidRPr="00F4635C">
              <w:rPr>
                <w:sz w:val="28"/>
                <w:szCs w:val="28"/>
              </w:rPr>
              <w:t>(Chomsky, 1986; 1995)</w:t>
            </w:r>
          </w:p>
        </w:tc>
        <w:tc>
          <w:tcPr>
            <w:tcW w:w="6821" w:type="dxa"/>
          </w:tcPr>
          <w:p w:rsidR="0090703D" w:rsidRPr="0090703D" w:rsidRDefault="0090703D" w:rsidP="00B05AEC">
            <w:pPr>
              <w:rPr>
                <w:szCs w:val="24"/>
              </w:rPr>
            </w:pPr>
            <w:r w:rsidRPr="0090703D">
              <w:rPr>
                <w:szCs w:val="24"/>
              </w:rPr>
              <w:t xml:space="preserve">Propone que el lenguaje, en tanto facultad, está formado por una serie de componentes o niveles de representación, siendo la </w:t>
            </w:r>
            <w:proofErr w:type="spellStart"/>
            <w:r w:rsidRPr="0090703D">
              <w:rPr>
                <w:szCs w:val="24"/>
              </w:rPr>
              <w:t>sintáxis</w:t>
            </w:r>
            <w:proofErr w:type="spellEnd"/>
            <w:r w:rsidRPr="0090703D">
              <w:rPr>
                <w:szCs w:val="24"/>
              </w:rPr>
              <w:t xml:space="preserve"> el núcleo central.</w:t>
            </w:r>
          </w:p>
          <w:p w:rsidR="0090703D" w:rsidRPr="0090703D" w:rsidRDefault="0090703D" w:rsidP="00B05AEC">
            <w:pPr>
              <w:rPr>
                <w:szCs w:val="24"/>
              </w:rPr>
            </w:pPr>
          </w:p>
        </w:tc>
      </w:tr>
      <w:tr w:rsidR="0090703D" w:rsidTr="0057750A">
        <w:trPr>
          <w:trHeight w:val="583"/>
        </w:trPr>
        <w:tc>
          <w:tcPr>
            <w:tcW w:w="6821" w:type="dxa"/>
          </w:tcPr>
          <w:p w:rsidR="0090703D" w:rsidRPr="00F4635C" w:rsidRDefault="0090703D" w:rsidP="0090703D">
            <w:pPr>
              <w:jc w:val="center"/>
              <w:rPr>
                <w:sz w:val="28"/>
                <w:szCs w:val="28"/>
              </w:rPr>
            </w:pPr>
            <w:r w:rsidRPr="00F4635C">
              <w:rPr>
                <w:sz w:val="28"/>
                <w:szCs w:val="28"/>
              </w:rPr>
              <w:t>(</w:t>
            </w:r>
            <w:proofErr w:type="spellStart"/>
            <w:r w:rsidRPr="00F4635C">
              <w:rPr>
                <w:sz w:val="28"/>
                <w:szCs w:val="28"/>
              </w:rPr>
              <w:t>Langacker</w:t>
            </w:r>
            <w:proofErr w:type="spellEnd"/>
            <w:r w:rsidRPr="00F4635C">
              <w:rPr>
                <w:sz w:val="28"/>
                <w:szCs w:val="28"/>
              </w:rPr>
              <w:t>, 1987; 1991)</w:t>
            </w:r>
          </w:p>
        </w:tc>
        <w:tc>
          <w:tcPr>
            <w:tcW w:w="6821" w:type="dxa"/>
          </w:tcPr>
          <w:p w:rsidR="0090703D" w:rsidRPr="0090703D" w:rsidRDefault="0090703D" w:rsidP="00B05AEC">
            <w:pPr>
              <w:rPr>
                <w:szCs w:val="24"/>
              </w:rPr>
            </w:pPr>
            <w:r w:rsidRPr="0090703D">
              <w:rPr>
                <w:szCs w:val="24"/>
              </w:rPr>
              <w:t>Los lingüísticos cognitivos van más allá al entender que en el componente léxico se encentran propiedades semánticas de suerte que categorías gramaticales como la de verbo y que tienen como base una noción semántica- conceptual.</w:t>
            </w:r>
          </w:p>
          <w:p w:rsidR="0090703D" w:rsidRPr="0090703D" w:rsidRDefault="0090703D" w:rsidP="00B05AEC">
            <w:pPr>
              <w:rPr>
                <w:szCs w:val="24"/>
              </w:rPr>
            </w:pPr>
          </w:p>
        </w:tc>
      </w:tr>
      <w:tr w:rsidR="0090703D" w:rsidTr="0057750A">
        <w:trPr>
          <w:trHeight w:val="583"/>
        </w:trPr>
        <w:tc>
          <w:tcPr>
            <w:tcW w:w="6821" w:type="dxa"/>
          </w:tcPr>
          <w:p w:rsidR="0090703D" w:rsidRPr="00F4635C" w:rsidRDefault="0090703D" w:rsidP="0090703D">
            <w:pPr>
              <w:jc w:val="center"/>
              <w:rPr>
                <w:sz w:val="28"/>
                <w:szCs w:val="28"/>
              </w:rPr>
            </w:pPr>
            <w:r>
              <w:rPr>
                <w:sz w:val="28"/>
                <w:szCs w:val="28"/>
              </w:rPr>
              <w:lastRenderedPageBreak/>
              <w:t>(</w:t>
            </w:r>
            <w:proofErr w:type="spellStart"/>
            <w:r>
              <w:rPr>
                <w:sz w:val="28"/>
                <w:szCs w:val="28"/>
              </w:rPr>
              <w:t>Markman</w:t>
            </w:r>
            <w:proofErr w:type="spellEnd"/>
            <w:r>
              <w:rPr>
                <w:sz w:val="28"/>
                <w:szCs w:val="28"/>
              </w:rPr>
              <w:t>, 1990)</w:t>
            </w:r>
          </w:p>
        </w:tc>
        <w:tc>
          <w:tcPr>
            <w:tcW w:w="6821" w:type="dxa"/>
          </w:tcPr>
          <w:p w:rsidR="0090703D" w:rsidRPr="0090703D" w:rsidRDefault="0090703D" w:rsidP="00B05AEC">
            <w:pPr>
              <w:rPr>
                <w:szCs w:val="24"/>
              </w:rPr>
            </w:pPr>
            <w:r w:rsidRPr="0090703D">
              <w:rPr>
                <w:szCs w:val="24"/>
              </w:rPr>
              <w:t xml:space="preserve">El sesgo a la percepción de los objetos se puede considerar una habilidad innata que facilita la elección  referencial para la formación del léxico. </w:t>
            </w:r>
          </w:p>
        </w:tc>
      </w:tr>
      <w:tr w:rsidR="0090703D" w:rsidTr="0057750A">
        <w:trPr>
          <w:trHeight w:val="583"/>
        </w:trPr>
        <w:tc>
          <w:tcPr>
            <w:tcW w:w="6821" w:type="dxa"/>
          </w:tcPr>
          <w:p w:rsidR="0090703D" w:rsidRPr="00F4635C" w:rsidRDefault="0090703D" w:rsidP="0090703D">
            <w:pPr>
              <w:jc w:val="center"/>
              <w:rPr>
                <w:sz w:val="28"/>
                <w:szCs w:val="28"/>
              </w:rPr>
            </w:pPr>
            <w:r w:rsidRPr="00F4635C">
              <w:rPr>
                <w:sz w:val="28"/>
                <w:szCs w:val="28"/>
              </w:rPr>
              <w:t>(</w:t>
            </w:r>
            <w:proofErr w:type="spellStart"/>
            <w:r w:rsidRPr="00F4635C">
              <w:rPr>
                <w:sz w:val="28"/>
                <w:szCs w:val="28"/>
              </w:rPr>
              <w:t>Karmiloff</w:t>
            </w:r>
            <w:proofErr w:type="spellEnd"/>
            <w:r w:rsidRPr="00F4635C">
              <w:rPr>
                <w:sz w:val="28"/>
                <w:szCs w:val="28"/>
              </w:rPr>
              <w:t>- Smith,1992)</w:t>
            </w:r>
          </w:p>
        </w:tc>
        <w:tc>
          <w:tcPr>
            <w:tcW w:w="6821" w:type="dxa"/>
          </w:tcPr>
          <w:p w:rsidR="0090703D" w:rsidRPr="0090703D" w:rsidRDefault="0090703D" w:rsidP="00B05AEC">
            <w:pPr>
              <w:rPr>
                <w:szCs w:val="24"/>
              </w:rPr>
            </w:pPr>
            <w:r w:rsidRPr="0090703D">
              <w:rPr>
                <w:szCs w:val="24"/>
              </w:rPr>
              <w:t xml:space="preserve">El lenguaje será el resultado de un cambio progresivo basado en habilidades naturales de dominio general que se va construyendo de forma tal que llega a organizarse como un conjunto de procesos autónomos en otras palabras, que prácticamente llega a </w:t>
            </w:r>
            <w:proofErr w:type="spellStart"/>
            <w:r w:rsidRPr="0090703D">
              <w:rPr>
                <w:szCs w:val="24"/>
              </w:rPr>
              <w:t>modularizarse</w:t>
            </w:r>
            <w:proofErr w:type="spellEnd"/>
            <w:r w:rsidRPr="0090703D">
              <w:rPr>
                <w:szCs w:val="24"/>
              </w:rPr>
              <w:t xml:space="preserve">.  </w:t>
            </w:r>
          </w:p>
          <w:p w:rsidR="0090703D" w:rsidRPr="0090703D" w:rsidRDefault="0090703D" w:rsidP="00B05AEC">
            <w:pPr>
              <w:rPr>
                <w:szCs w:val="24"/>
              </w:rPr>
            </w:pPr>
          </w:p>
        </w:tc>
      </w:tr>
      <w:tr w:rsidR="0090703D" w:rsidTr="0057750A">
        <w:trPr>
          <w:trHeight w:val="583"/>
        </w:trPr>
        <w:tc>
          <w:tcPr>
            <w:tcW w:w="6821" w:type="dxa"/>
          </w:tcPr>
          <w:p w:rsidR="0090703D" w:rsidRPr="00F4635C" w:rsidRDefault="0090703D" w:rsidP="0090703D">
            <w:pPr>
              <w:jc w:val="center"/>
              <w:rPr>
                <w:sz w:val="28"/>
                <w:szCs w:val="28"/>
              </w:rPr>
            </w:pPr>
            <w:r w:rsidRPr="00F4635C">
              <w:rPr>
                <w:sz w:val="28"/>
                <w:szCs w:val="28"/>
              </w:rPr>
              <w:t>(</w:t>
            </w:r>
            <w:proofErr w:type="spellStart"/>
            <w:r w:rsidRPr="00F4635C">
              <w:rPr>
                <w:sz w:val="28"/>
                <w:szCs w:val="28"/>
              </w:rPr>
              <w:t>Mcwhinney</w:t>
            </w:r>
            <w:proofErr w:type="spellEnd"/>
            <w:r w:rsidRPr="00F4635C">
              <w:rPr>
                <w:sz w:val="28"/>
                <w:szCs w:val="28"/>
              </w:rPr>
              <w:t>, 1999)</w:t>
            </w:r>
          </w:p>
          <w:p w:rsidR="0090703D" w:rsidRPr="00F4635C" w:rsidRDefault="0090703D" w:rsidP="0090703D">
            <w:pPr>
              <w:jc w:val="center"/>
              <w:rPr>
                <w:sz w:val="28"/>
                <w:szCs w:val="28"/>
              </w:rPr>
            </w:pPr>
          </w:p>
        </w:tc>
        <w:tc>
          <w:tcPr>
            <w:tcW w:w="6821" w:type="dxa"/>
          </w:tcPr>
          <w:p w:rsidR="0090703D" w:rsidRPr="0090703D" w:rsidRDefault="0090703D" w:rsidP="00B05AEC">
            <w:pPr>
              <w:rPr>
                <w:szCs w:val="24"/>
              </w:rPr>
            </w:pPr>
            <w:r w:rsidRPr="0090703D">
              <w:rPr>
                <w:szCs w:val="24"/>
              </w:rPr>
              <w:t>Considera el lenguaje como una habilidad emergente a partir de las habilidades y procedimientos naturales empleados para solucionar el problema comunicativo en la especie.</w:t>
            </w:r>
          </w:p>
        </w:tc>
      </w:tr>
      <w:tr w:rsidR="0090703D" w:rsidTr="0057750A">
        <w:trPr>
          <w:trHeight w:val="563"/>
        </w:trPr>
        <w:tc>
          <w:tcPr>
            <w:tcW w:w="6821" w:type="dxa"/>
          </w:tcPr>
          <w:p w:rsidR="0090703D" w:rsidRDefault="0090703D" w:rsidP="00945588">
            <w:pPr>
              <w:jc w:val="center"/>
            </w:pPr>
            <w:r>
              <w:t>ROSCH 1973</w:t>
            </w:r>
          </w:p>
        </w:tc>
        <w:tc>
          <w:tcPr>
            <w:tcW w:w="6821" w:type="dxa"/>
          </w:tcPr>
          <w:p w:rsidR="0090703D" w:rsidRDefault="0090703D">
            <w:r>
              <w:t>En la percepción de espectro del color, todas las culturas distinguen entre negro y rojo, y la mayoría de ellas entre los colores básicos.</w:t>
            </w:r>
          </w:p>
        </w:tc>
      </w:tr>
      <w:tr w:rsidR="0090703D" w:rsidTr="0057750A">
        <w:trPr>
          <w:trHeight w:val="563"/>
        </w:trPr>
        <w:tc>
          <w:tcPr>
            <w:tcW w:w="6821" w:type="dxa"/>
          </w:tcPr>
          <w:p w:rsidR="0090703D" w:rsidRPr="00953067" w:rsidRDefault="0090703D" w:rsidP="00945588">
            <w:pPr>
              <w:jc w:val="center"/>
              <w:rPr>
                <w:lang w:val="en-US"/>
              </w:rPr>
            </w:pPr>
            <w:r w:rsidRPr="00953067">
              <w:rPr>
                <w:lang w:val="en-US"/>
              </w:rPr>
              <w:t>FODOR, PINKER, CHOMSKY, WEXLER, 1996, WEISSENBORN 1991, RADFORD 1990.</w:t>
            </w:r>
          </w:p>
        </w:tc>
        <w:tc>
          <w:tcPr>
            <w:tcW w:w="6821" w:type="dxa"/>
          </w:tcPr>
          <w:p w:rsidR="0090703D" w:rsidRDefault="0090703D">
            <w:proofErr w:type="spellStart"/>
            <w:r w:rsidRPr="00CD4A6E">
              <w:rPr>
                <w:color w:val="FF0000"/>
              </w:rPr>
              <w:t>Innanitistas</w:t>
            </w:r>
            <w:proofErr w:type="spellEnd"/>
            <w:r w:rsidRPr="00CD4A6E">
              <w:rPr>
                <w:color w:val="FF0000"/>
              </w:rPr>
              <w:t xml:space="preserve"> modulares.</w:t>
            </w:r>
          </w:p>
        </w:tc>
      </w:tr>
      <w:tr w:rsidR="0090703D" w:rsidTr="0057750A">
        <w:trPr>
          <w:trHeight w:val="583"/>
        </w:trPr>
        <w:tc>
          <w:tcPr>
            <w:tcW w:w="6821" w:type="dxa"/>
          </w:tcPr>
          <w:p w:rsidR="0090703D" w:rsidRDefault="0090703D" w:rsidP="0038509A">
            <w:pPr>
              <w:jc w:val="center"/>
            </w:pPr>
            <w:r>
              <w:t>PIAGET, SNOW 1977, BARRET 1999.</w:t>
            </w:r>
          </w:p>
        </w:tc>
        <w:tc>
          <w:tcPr>
            <w:tcW w:w="6821" w:type="dxa"/>
          </w:tcPr>
          <w:p w:rsidR="0090703D" w:rsidRDefault="0090703D">
            <w:r w:rsidRPr="00CD4A6E">
              <w:rPr>
                <w:color w:val="FF0000"/>
              </w:rPr>
              <w:t>Constructivismo genérico.</w:t>
            </w:r>
          </w:p>
        </w:tc>
      </w:tr>
      <w:tr w:rsidR="0090703D" w:rsidTr="0057750A">
        <w:trPr>
          <w:trHeight w:val="583"/>
        </w:trPr>
        <w:tc>
          <w:tcPr>
            <w:tcW w:w="6821" w:type="dxa"/>
          </w:tcPr>
          <w:p w:rsidR="0090703D" w:rsidRDefault="0090703D" w:rsidP="009A3DA2">
            <w:pPr>
              <w:jc w:val="center"/>
            </w:pPr>
            <w:r>
              <w:t>LOCKE 1996 – 1997.</w:t>
            </w:r>
          </w:p>
        </w:tc>
        <w:tc>
          <w:tcPr>
            <w:tcW w:w="6821" w:type="dxa"/>
          </w:tcPr>
          <w:p w:rsidR="0090703D" w:rsidRDefault="0090703D"/>
          <w:p w:rsidR="0090703D" w:rsidRDefault="0090703D">
            <w:r>
              <w:t xml:space="preserve">Subraya la maduración </w:t>
            </w:r>
            <w:proofErr w:type="gramStart"/>
            <w:r>
              <w:t>sensorio</w:t>
            </w:r>
            <w:proofErr w:type="gramEnd"/>
            <w:r>
              <w:t xml:space="preserve"> – motora para el habla.</w:t>
            </w:r>
          </w:p>
        </w:tc>
      </w:tr>
      <w:tr w:rsidR="0090703D" w:rsidTr="0057750A">
        <w:trPr>
          <w:trHeight w:val="583"/>
        </w:trPr>
        <w:tc>
          <w:tcPr>
            <w:tcW w:w="6821" w:type="dxa"/>
          </w:tcPr>
          <w:p w:rsidR="0090703D" w:rsidRDefault="0090703D" w:rsidP="009A3DA2">
            <w:pPr>
              <w:jc w:val="center"/>
            </w:pPr>
            <w:r>
              <w:lastRenderedPageBreak/>
              <w:t>MARKMAN 1990.</w:t>
            </w:r>
          </w:p>
          <w:p w:rsidR="0090703D" w:rsidRDefault="0090703D" w:rsidP="009A3DA2">
            <w:pPr>
              <w:jc w:val="center"/>
            </w:pPr>
            <w:r>
              <w:t>MARATSOS 1980.</w:t>
            </w:r>
          </w:p>
        </w:tc>
        <w:tc>
          <w:tcPr>
            <w:tcW w:w="6821" w:type="dxa"/>
          </w:tcPr>
          <w:p w:rsidR="0090703D" w:rsidRDefault="0090703D">
            <w:r>
              <w:t>La percepción especifica de los objetos.</w:t>
            </w:r>
          </w:p>
          <w:p w:rsidR="0090703D" w:rsidRDefault="0090703D">
            <w:r>
              <w:t xml:space="preserve">La estructura propositiva de la cognición, necesaria para la sintaxis. </w:t>
            </w:r>
          </w:p>
        </w:tc>
      </w:tr>
      <w:tr w:rsidR="0090703D" w:rsidTr="0057750A">
        <w:trPr>
          <w:trHeight w:val="583"/>
        </w:trPr>
        <w:tc>
          <w:tcPr>
            <w:tcW w:w="6821" w:type="dxa"/>
          </w:tcPr>
          <w:p w:rsidR="0090703D" w:rsidRDefault="0090703D" w:rsidP="009A3DA2">
            <w:pPr>
              <w:jc w:val="center"/>
            </w:pPr>
            <w:r>
              <w:t>KARMILOFF – SMITH 1999.</w:t>
            </w:r>
          </w:p>
        </w:tc>
        <w:tc>
          <w:tcPr>
            <w:tcW w:w="6821" w:type="dxa"/>
          </w:tcPr>
          <w:p w:rsidR="0090703D" w:rsidRPr="00CD4A6E" w:rsidRDefault="0090703D">
            <w:pPr>
              <w:rPr>
                <w:color w:val="FF0000"/>
              </w:rPr>
            </w:pPr>
            <w:r w:rsidRPr="00CD4A6E">
              <w:rPr>
                <w:color w:val="FF0000"/>
              </w:rPr>
              <w:t>Constructivismo Específico.</w:t>
            </w:r>
          </w:p>
          <w:p w:rsidR="0090703D" w:rsidRDefault="0090703D">
            <w:r>
              <w:t xml:space="preserve">Cree en la necesidad de formas de procesar específicas para poder aprender el lenguaje, dada su complejidad. Recurriendo a habilidades y procesos que sean aprendidos o lleguen a ser altamente especializados por no decir </w:t>
            </w:r>
            <w:proofErr w:type="spellStart"/>
            <w:r>
              <w:t>modularizados</w:t>
            </w:r>
            <w:proofErr w:type="spellEnd"/>
            <w:r>
              <w:t>.</w:t>
            </w:r>
          </w:p>
        </w:tc>
      </w:tr>
      <w:tr w:rsidR="0090703D" w:rsidTr="0057750A">
        <w:trPr>
          <w:trHeight w:val="583"/>
        </w:trPr>
        <w:tc>
          <w:tcPr>
            <w:tcW w:w="6821" w:type="dxa"/>
          </w:tcPr>
          <w:p w:rsidR="0090703D" w:rsidRDefault="0090703D" w:rsidP="009A3DA2">
            <w:pPr>
              <w:jc w:val="center"/>
            </w:pPr>
            <w:r>
              <w:t>SAPIR 1921.</w:t>
            </w:r>
          </w:p>
        </w:tc>
        <w:tc>
          <w:tcPr>
            <w:tcW w:w="6821" w:type="dxa"/>
          </w:tcPr>
          <w:p w:rsidR="0090703D" w:rsidRPr="00113F95" w:rsidRDefault="0090703D">
            <w:pPr>
              <w:rPr>
                <w:color w:val="FF0000"/>
              </w:rPr>
            </w:pPr>
            <w:r w:rsidRPr="00113F95">
              <w:rPr>
                <w:color w:val="FF0000"/>
              </w:rPr>
              <w:t>Hipótesis del determinismo lingüístico.</w:t>
            </w:r>
          </w:p>
          <w:p w:rsidR="0090703D" w:rsidRDefault="0090703D">
            <w:r>
              <w:t xml:space="preserve">Las mentes </w:t>
            </w:r>
            <w:r w:rsidRPr="00113F95">
              <w:rPr>
                <w:rFonts w:cs="Times New Roman"/>
                <w:color w:val="222222"/>
                <w:shd w:val="clear" w:color="auto" w:fill="FFFFFF"/>
              </w:rPr>
              <w:t>“diseccion</w:t>
            </w:r>
            <w:r w:rsidRPr="00113F95">
              <w:rPr>
                <w:rFonts w:cs="Times New Roman"/>
              </w:rPr>
              <w:t>an la naturaleza</w:t>
            </w:r>
            <w:r w:rsidRPr="00113F95">
              <w:rPr>
                <w:rFonts w:cs="Times New Roman"/>
                <w:color w:val="222222"/>
                <w:shd w:val="clear" w:color="auto" w:fill="FFFFFF"/>
              </w:rPr>
              <w:t>”</w:t>
            </w:r>
            <w:r>
              <w:t xml:space="preserve"> en función de las convenciones y las categorías de nuestra lengua.</w:t>
            </w:r>
          </w:p>
        </w:tc>
      </w:tr>
      <w:tr w:rsidR="0090703D" w:rsidTr="0057750A">
        <w:trPr>
          <w:trHeight w:val="583"/>
        </w:trPr>
        <w:tc>
          <w:tcPr>
            <w:tcW w:w="6821" w:type="dxa"/>
          </w:tcPr>
          <w:p w:rsidR="0090703D" w:rsidRDefault="0090703D" w:rsidP="009A3DA2">
            <w:pPr>
              <w:jc w:val="center"/>
            </w:pPr>
          </w:p>
        </w:tc>
        <w:tc>
          <w:tcPr>
            <w:tcW w:w="6821" w:type="dxa"/>
          </w:tcPr>
          <w:p w:rsidR="0090703D" w:rsidRDefault="0090703D"/>
        </w:tc>
      </w:tr>
      <w:tr w:rsidR="0090703D" w:rsidTr="0038509A">
        <w:trPr>
          <w:trHeight w:val="168"/>
        </w:trPr>
        <w:tc>
          <w:tcPr>
            <w:tcW w:w="6821" w:type="dxa"/>
          </w:tcPr>
          <w:p w:rsidR="0090703D" w:rsidRDefault="0090703D" w:rsidP="009A3DA2">
            <w:pPr>
              <w:jc w:val="center"/>
            </w:pPr>
          </w:p>
        </w:tc>
        <w:tc>
          <w:tcPr>
            <w:tcW w:w="6821" w:type="dxa"/>
          </w:tcPr>
          <w:p w:rsidR="0090703D" w:rsidRDefault="0090703D"/>
        </w:tc>
      </w:tr>
    </w:tbl>
    <w:p w:rsidR="00FB0251" w:rsidRDefault="00FB0251"/>
    <w:p w:rsidR="00953067" w:rsidRDefault="00953067"/>
    <w:p w:rsidR="00953067" w:rsidRDefault="00953067"/>
    <w:p w:rsidR="00953067" w:rsidRDefault="00953067"/>
    <w:p w:rsidR="00953067" w:rsidRDefault="00953067"/>
    <w:p w:rsidR="00953067" w:rsidRDefault="00953067"/>
    <w:p w:rsidR="00953067" w:rsidRPr="00953067" w:rsidRDefault="00953067" w:rsidP="00953067">
      <w:pPr>
        <w:spacing w:after="0" w:line="240" w:lineRule="auto"/>
        <w:rPr>
          <w:rFonts w:cs="Times New Roman"/>
          <w:b/>
          <w:sz w:val="22"/>
        </w:rPr>
      </w:pPr>
      <w:r>
        <w:rPr>
          <w:rFonts w:cs="Times New Roman"/>
          <w:b/>
          <w:sz w:val="28"/>
        </w:rPr>
        <w:lastRenderedPageBreak/>
        <w:t xml:space="preserve">                                        </w:t>
      </w:r>
      <w:r w:rsidRPr="00953067">
        <w:rPr>
          <w:rFonts w:cs="Times New Roman"/>
          <w:b/>
          <w:sz w:val="28"/>
        </w:rPr>
        <w:t>ESCUELA NORMAL DE EDUCACIÓN PREESCOLAR</w:t>
      </w:r>
    </w:p>
    <w:p w:rsidR="00953067" w:rsidRPr="00953067" w:rsidRDefault="00953067" w:rsidP="00953067">
      <w:pPr>
        <w:jc w:val="center"/>
        <w:rPr>
          <w:rFonts w:eastAsia="Calibri" w:cs="Times New Roman"/>
          <w:sz w:val="28"/>
        </w:rPr>
      </w:pPr>
      <w:r w:rsidRPr="00953067">
        <w:rPr>
          <w:rFonts w:ascii="Calibri" w:eastAsia="Calibri" w:hAnsi="Calibri" w:cs="Times New Roman"/>
          <w:noProof/>
          <w:sz w:val="22"/>
          <w:lang w:eastAsia="es-MX"/>
        </w:rPr>
        <w:drawing>
          <wp:inline distT="0" distB="0" distL="0" distR="0" wp14:anchorId="0EA1B727" wp14:editId="6CFC072A">
            <wp:extent cx="1325656" cy="990600"/>
            <wp:effectExtent l="0" t="0" r="0" b="0"/>
            <wp:docPr id="1" name="Imagen 1" descr="Descripción: Resultado de imagen para escudo escuela normal de educacion preescolar sal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Resultado de imagen para escudo escuela normal de educacion preescolar saltill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0529" cy="994242"/>
                    </a:xfrm>
                    <a:prstGeom prst="rect">
                      <a:avLst/>
                    </a:prstGeom>
                    <a:noFill/>
                    <a:ln>
                      <a:noFill/>
                    </a:ln>
                  </pic:spPr>
                </pic:pic>
              </a:graphicData>
            </a:graphic>
          </wp:inline>
        </w:drawing>
      </w:r>
    </w:p>
    <w:p w:rsidR="00953067" w:rsidRPr="00953067" w:rsidRDefault="00953067" w:rsidP="00953067">
      <w:pPr>
        <w:jc w:val="center"/>
        <w:rPr>
          <w:rFonts w:eastAsia="Calibri" w:cs="Times New Roman"/>
          <w:sz w:val="28"/>
        </w:rPr>
      </w:pPr>
      <w:r w:rsidRPr="00953067">
        <w:rPr>
          <w:rFonts w:eastAsia="Calibri" w:cs="Times New Roman"/>
          <w:sz w:val="28"/>
        </w:rPr>
        <w:t xml:space="preserve">Lic.  Angélica María </w:t>
      </w:r>
      <w:proofErr w:type="spellStart"/>
      <w:r w:rsidRPr="00953067">
        <w:rPr>
          <w:rFonts w:eastAsia="Calibri" w:cs="Times New Roman"/>
          <w:sz w:val="28"/>
        </w:rPr>
        <w:t>Rocca</w:t>
      </w:r>
      <w:proofErr w:type="spellEnd"/>
      <w:r w:rsidRPr="00953067">
        <w:rPr>
          <w:rFonts w:eastAsia="Calibri" w:cs="Times New Roman"/>
          <w:sz w:val="28"/>
        </w:rPr>
        <w:t xml:space="preserve"> Valdez </w:t>
      </w:r>
    </w:p>
    <w:p w:rsidR="00953067" w:rsidRPr="00953067" w:rsidRDefault="00953067" w:rsidP="00953067">
      <w:pPr>
        <w:jc w:val="center"/>
        <w:rPr>
          <w:rFonts w:eastAsia="Calibri" w:cs="Times New Roman"/>
          <w:sz w:val="28"/>
        </w:rPr>
      </w:pPr>
      <w:r w:rsidRPr="00953067">
        <w:rPr>
          <w:rFonts w:eastAsia="Calibri" w:cs="Times New Roman"/>
          <w:sz w:val="28"/>
        </w:rPr>
        <w:t xml:space="preserve">Desarrollo del pensamiento y lenguaje en la infancia </w:t>
      </w:r>
    </w:p>
    <w:p w:rsidR="00953067" w:rsidRPr="00953067" w:rsidRDefault="00953067" w:rsidP="00953067">
      <w:pPr>
        <w:jc w:val="center"/>
        <w:rPr>
          <w:rFonts w:eastAsia="Calibri" w:cs="Times New Roman"/>
          <w:sz w:val="28"/>
        </w:rPr>
      </w:pPr>
      <w:proofErr w:type="spellStart"/>
      <w:r w:rsidRPr="00953067">
        <w:rPr>
          <w:rFonts w:eastAsia="Calibri" w:cs="Times New Roman"/>
          <w:sz w:val="28"/>
        </w:rPr>
        <w:t>Moed</w:t>
      </w:r>
      <w:proofErr w:type="spellEnd"/>
      <w:r w:rsidRPr="00953067">
        <w:rPr>
          <w:rFonts w:eastAsia="Calibri" w:cs="Times New Roman"/>
          <w:sz w:val="28"/>
        </w:rPr>
        <w:t xml:space="preserve"> </w:t>
      </w:r>
      <w:proofErr w:type="spellStart"/>
      <w:r w:rsidRPr="00953067">
        <w:rPr>
          <w:rFonts w:eastAsia="Calibri" w:cs="Times New Roman"/>
          <w:sz w:val="28"/>
        </w:rPr>
        <w:t>Chashar</w:t>
      </w:r>
      <w:proofErr w:type="spellEnd"/>
      <w:r w:rsidRPr="00953067">
        <w:rPr>
          <w:rFonts w:eastAsia="Calibri" w:cs="Times New Roman"/>
          <w:sz w:val="28"/>
        </w:rPr>
        <w:t xml:space="preserve"> Villalobos Durán  </w:t>
      </w:r>
    </w:p>
    <w:p w:rsidR="00953067" w:rsidRPr="00953067" w:rsidRDefault="00953067" w:rsidP="00953067">
      <w:pPr>
        <w:jc w:val="center"/>
        <w:rPr>
          <w:rFonts w:eastAsia="Calibri" w:cs="Times New Roman"/>
          <w:sz w:val="28"/>
        </w:rPr>
      </w:pPr>
    </w:p>
    <w:p w:rsidR="00953067" w:rsidRPr="00953067" w:rsidRDefault="00953067" w:rsidP="00953067">
      <w:pPr>
        <w:jc w:val="center"/>
        <w:rPr>
          <w:rFonts w:eastAsia="Calibri" w:cs="Times New Roman"/>
          <w:sz w:val="28"/>
        </w:rPr>
      </w:pPr>
      <w:r w:rsidRPr="00953067">
        <w:rPr>
          <w:rFonts w:eastAsia="Calibri" w:cs="Times New Roman"/>
          <w:sz w:val="28"/>
        </w:rPr>
        <w:t xml:space="preserve"> N° de lista 21</w:t>
      </w:r>
    </w:p>
    <w:p w:rsidR="00953067" w:rsidRPr="00953067" w:rsidRDefault="00953067" w:rsidP="00953067">
      <w:pPr>
        <w:jc w:val="center"/>
        <w:rPr>
          <w:rFonts w:eastAsia="Calibri" w:cs="Times New Roman"/>
          <w:sz w:val="28"/>
        </w:rPr>
      </w:pPr>
      <w:r w:rsidRPr="00953067">
        <w:rPr>
          <w:rFonts w:eastAsia="Calibri" w:cs="Times New Roman"/>
          <w:sz w:val="28"/>
        </w:rPr>
        <w:t>3° semestre, sección A´</w:t>
      </w:r>
    </w:p>
    <w:p w:rsidR="00953067" w:rsidRPr="00953067" w:rsidRDefault="00953067" w:rsidP="00953067">
      <w:pPr>
        <w:jc w:val="center"/>
        <w:rPr>
          <w:rFonts w:eastAsia="Calibri" w:cs="Times New Roman"/>
          <w:sz w:val="28"/>
          <w:szCs w:val="28"/>
        </w:rPr>
      </w:pPr>
      <w:r w:rsidRPr="00953067">
        <w:rPr>
          <w:rFonts w:eastAsia="Calibri" w:cs="Times New Roman"/>
          <w:b/>
          <w:sz w:val="28"/>
        </w:rPr>
        <w:t xml:space="preserve">Trabajo a desarrollar: </w:t>
      </w:r>
      <w:r w:rsidRPr="00953067">
        <w:rPr>
          <w:rFonts w:eastAsia="Calibri" w:cs="Times New Roman"/>
          <w:sz w:val="28"/>
          <w:szCs w:val="28"/>
        </w:rPr>
        <w:t xml:space="preserve">Resumen primera y segunda parte </w:t>
      </w:r>
    </w:p>
    <w:p w:rsidR="00953067" w:rsidRPr="00953067" w:rsidRDefault="00953067" w:rsidP="00953067">
      <w:pPr>
        <w:rPr>
          <w:rFonts w:eastAsia="Calibri" w:cs="Times New Roman"/>
          <w:sz w:val="28"/>
          <w:szCs w:val="28"/>
        </w:rPr>
      </w:pPr>
    </w:p>
    <w:p w:rsidR="00953067" w:rsidRPr="00953067" w:rsidRDefault="00953067" w:rsidP="00953067">
      <w:pPr>
        <w:jc w:val="center"/>
        <w:rPr>
          <w:rFonts w:eastAsia="Calibri" w:cs="Times New Roman"/>
          <w:sz w:val="28"/>
          <w:szCs w:val="28"/>
        </w:rPr>
      </w:pPr>
      <w:r w:rsidRPr="00953067">
        <w:rPr>
          <w:rFonts w:eastAsia="Calibri" w:cs="Times New Roman"/>
          <w:sz w:val="28"/>
          <w:szCs w:val="28"/>
        </w:rPr>
        <w:t>5 de septiembre del 2018</w:t>
      </w:r>
    </w:p>
    <w:p w:rsidR="00953067" w:rsidRPr="00953067" w:rsidRDefault="00953067" w:rsidP="00953067">
      <w:pPr>
        <w:jc w:val="center"/>
        <w:rPr>
          <w:rFonts w:eastAsia="Calibri" w:cs="Times New Roman"/>
          <w:sz w:val="28"/>
          <w:szCs w:val="28"/>
        </w:rPr>
      </w:pPr>
      <w:r>
        <w:rPr>
          <w:rFonts w:eastAsia="Calibri" w:cs="Times New Roman"/>
          <w:sz w:val="28"/>
          <w:szCs w:val="28"/>
        </w:rPr>
        <w:t>Saltillo, Coahuila</w:t>
      </w:r>
    </w:p>
    <w:p w:rsidR="00953067" w:rsidRPr="00953067" w:rsidRDefault="00953067" w:rsidP="00953067">
      <w:pPr>
        <w:spacing w:line="480" w:lineRule="auto"/>
        <w:rPr>
          <w:rFonts w:eastAsia="Calibri" w:cs="Times New Roman"/>
          <w:b/>
          <w:sz w:val="32"/>
          <w:szCs w:val="24"/>
        </w:rPr>
      </w:pPr>
      <w:r w:rsidRPr="00953067">
        <w:rPr>
          <w:rFonts w:eastAsia="Calibri" w:cs="Times New Roman"/>
          <w:b/>
          <w:sz w:val="32"/>
          <w:szCs w:val="24"/>
        </w:rPr>
        <w:lastRenderedPageBreak/>
        <w:t xml:space="preserve">El lenguaje y los problemas del conocimiento </w:t>
      </w:r>
    </w:p>
    <w:p w:rsidR="00953067" w:rsidRPr="00953067" w:rsidRDefault="00953067" w:rsidP="00953067">
      <w:pPr>
        <w:spacing w:line="480" w:lineRule="auto"/>
        <w:rPr>
          <w:rFonts w:eastAsia="Calibri" w:cs="Times New Roman"/>
          <w:szCs w:val="24"/>
        </w:rPr>
      </w:pPr>
      <w:r w:rsidRPr="00953067">
        <w:rPr>
          <w:rFonts w:eastAsia="Calibri" w:cs="Times New Roman"/>
          <w:szCs w:val="24"/>
        </w:rPr>
        <w:t>Existen variables razones por lo cual el lenguaje ha sido y sigue siendo de real importancia ya que se define de varias maneras en diversos aspectos, el lenguaje es una propiedad verdaderamente exclusiva de la especie humana ya que se va de la mano con herencia biológica y se desarrolla con el pensamiento, acciones, y relaciones sociales ya que todas estas en conjunto forman parte del lenguaje y que conforman lo que se llama herencia biológica, por las relaciones y experiencias</w:t>
      </w:r>
    </w:p>
    <w:p w:rsidR="00953067" w:rsidRPr="00953067" w:rsidRDefault="00953067" w:rsidP="00953067">
      <w:pPr>
        <w:spacing w:line="480" w:lineRule="auto"/>
        <w:rPr>
          <w:rFonts w:eastAsia="Calibri" w:cs="Times New Roman"/>
          <w:szCs w:val="24"/>
        </w:rPr>
      </w:pPr>
      <w:r w:rsidRPr="00953067">
        <w:rPr>
          <w:rFonts w:eastAsia="Calibri" w:cs="Times New Roman"/>
          <w:szCs w:val="24"/>
        </w:rPr>
        <w:t xml:space="preserve">El lenguaje y el pensamiento. El estudio del lenguaje y del pensamiento se mantiene con investigaciones vinculadas, una persona que habla una lengua ha desarrollado en la mente y el cerebro. Según Chomsky, al nacer los bebes están capacitados para hablar cualquier lengua del mundo, se produce de manera automática sin mediaciones del aprendizaje. El desarrollo lingüístico se activa gracias a estímulos que ya teniendo el ser humano: facultad del lenguaje que parte de un estado inicial 0 meses gramática universal, pasa por un proceso de maduración más experiencias lingüísticas y hace un estado estable 56 meses gramática particular. </w:t>
      </w:r>
    </w:p>
    <w:p w:rsidR="00953067" w:rsidRPr="00953067" w:rsidRDefault="00953067" w:rsidP="00953067">
      <w:pPr>
        <w:spacing w:line="480" w:lineRule="auto"/>
        <w:rPr>
          <w:rFonts w:eastAsia="Calibri" w:cs="Times New Roman"/>
          <w:szCs w:val="24"/>
        </w:rPr>
      </w:pPr>
      <w:r w:rsidRPr="00953067">
        <w:rPr>
          <w:rFonts w:eastAsia="Calibri" w:cs="Times New Roman"/>
          <w:szCs w:val="24"/>
        </w:rPr>
        <w:t>La gramática universal y particular, nos dice que todos los seres humanos adquieren de forma natural una lengua cualquiera por que disponen de una gramática universal, que hace referencia a las particulares diversidades de los idiomas. La Competencia Lingüística es el conocimiento que un hablante tiene de su lengua, es un conocimiento mental subyacente a las realizaciones concretas del hablante. Esa realización concreta es la Actuación, es decir, el uso real de la lengua.</w:t>
      </w:r>
    </w:p>
    <w:p w:rsidR="00953067" w:rsidRPr="00953067" w:rsidRDefault="00953067" w:rsidP="00953067">
      <w:pPr>
        <w:spacing w:line="480" w:lineRule="auto"/>
        <w:rPr>
          <w:rFonts w:eastAsia="Calibri" w:cs="Times New Roman"/>
          <w:szCs w:val="24"/>
        </w:rPr>
      </w:pPr>
    </w:p>
    <w:p w:rsidR="00953067" w:rsidRPr="00953067" w:rsidRDefault="00953067" w:rsidP="00953067">
      <w:pPr>
        <w:spacing w:line="480" w:lineRule="auto"/>
        <w:rPr>
          <w:rFonts w:eastAsia="Calibri" w:cs="Times New Roman"/>
          <w:szCs w:val="24"/>
        </w:rPr>
      </w:pPr>
      <w:r w:rsidRPr="00953067">
        <w:rPr>
          <w:rFonts w:eastAsia="Calibri" w:cs="Times New Roman"/>
          <w:szCs w:val="24"/>
        </w:rPr>
        <w:t xml:space="preserve">Chomsky se basa en tres cuestiones fundamentales utiliza la metáfora que compara al lenguaje con un órgano mental. Por otro lado, dice que el conocimiento de una lengua es un estado mental “x” en la mente de todo hablante; es por eso que es una facultad cognitiva, es decir, que el conocimiento de una lengua esta internalizado, las capacidades mentales son sistemas biológicos, (De ahí el nombre de </w:t>
      </w:r>
      <w:proofErr w:type="spellStart"/>
      <w:r w:rsidRPr="00953067">
        <w:rPr>
          <w:rFonts w:eastAsia="Calibri" w:cs="Times New Roman"/>
          <w:szCs w:val="24"/>
        </w:rPr>
        <w:t>Biolingüistica</w:t>
      </w:r>
      <w:proofErr w:type="spellEnd"/>
      <w:r w:rsidRPr="00953067">
        <w:rPr>
          <w:rFonts w:eastAsia="Calibri" w:cs="Times New Roman"/>
          <w:szCs w:val="24"/>
        </w:rPr>
        <w:t xml:space="preserve">) </w:t>
      </w:r>
    </w:p>
    <w:p w:rsidR="00953067" w:rsidRPr="00953067" w:rsidRDefault="00953067" w:rsidP="00953067">
      <w:pPr>
        <w:spacing w:line="480" w:lineRule="auto"/>
        <w:rPr>
          <w:rFonts w:eastAsia="Calibri" w:cs="Times New Roman"/>
          <w:szCs w:val="24"/>
        </w:rPr>
      </w:pPr>
      <w:r w:rsidRPr="00953067">
        <w:rPr>
          <w:rFonts w:eastAsia="Calibri" w:cs="Times New Roman"/>
          <w:szCs w:val="24"/>
        </w:rPr>
        <w:t>El conocimiento que se encuentra en la mente-cerebro de todo hablante hay que tener en cuenta dos cuestiones, sistemas de Conocimiento, que son módulos dentro de la mente-cerebro del hablante que permite procesar información específica. Por ejemplo el modulo del lenguaje que procesa datos lingüísticos y los reconoce como tales, el sistema de Actuación, que entra en relación con el sistema lingüístico pero solo en el campo de la actuación porque no son parte del proceso de adquisición de una competencia lingüística.</w:t>
      </w:r>
    </w:p>
    <w:p w:rsidR="00953067" w:rsidRPr="00953067" w:rsidRDefault="00953067" w:rsidP="00953067">
      <w:pPr>
        <w:spacing w:line="480" w:lineRule="auto"/>
        <w:rPr>
          <w:rFonts w:eastAsia="Calibri" w:cs="Times New Roman"/>
          <w:szCs w:val="24"/>
        </w:rPr>
      </w:pPr>
      <w:r w:rsidRPr="00953067">
        <w:rPr>
          <w:rFonts w:eastAsia="Calibri" w:cs="Times New Roman"/>
          <w:szCs w:val="24"/>
        </w:rPr>
        <w:t>Hace una abstracción de los hechos que son tomados en cuenta en la noción común de lengua considerando sólo el caso de una persona sometida a una experiencia uniforme en una comunidad lingüística sin diversidad de dialectos ni variaciones individuales entre los hablantes. Ya que si no se tiene estos variables puede afectar el lenguaje ya que se cree que se basa en las experticias que se obtiene por la comunidad y la relación que se va generando en el proceso de maduración.</w:t>
      </w:r>
    </w:p>
    <w:p w:rsidR="00953067" w:rsidRPr="00953067" w:rsidRDefault="00953067" w:rsidP="00953067">
      <w:pPr>
        <w:spacing w:line="480" w:lineRule="auto"/>
        <w:rPr>
          <w:rFonts w:eastAsia="Calibri" w:cs="Times New Roman"/>
          <w:szCs w:val="24"/>
        </w:rPr>
      </w:pPr>
      <w:r w:rsidRPr="00953067">
        <w:rPr>
          <w:rFonts w:eastAsia="Calibri" w:cs="Times New Roman"/>
          <w:szCs w:val="24"/>
        </w:rPr>
        <w:lastRenderedPageBreak/>
        <w:t>El principio de la dependencia de estructuras es una propiedad significativa y nada trivial del lenguaje humano,  durante mucho tiempo se ha creído que los organismos tienen cierta capacidad intelectuales, tales como la capacidad de llevar a cabo un razonamiento inductivo, y que aplican estas capacidades indiferenciadas a cualquier tarea intelectual con que pueden enfrentarse.</w:t>
      </w:r>
    </w:p>
    <w:p w:rsidR="00953067" w:rsidRPr="00953067" w:rsidRDefault="00953067" w:rsidP="00953067">
      <w:pPr>
        <w:spacing w:line="480" w:lineRule="auto"/>
        <w:rPr>
          <w:rFonts w:eastAsia="Calibri" w:cs="Times New Roman"/>
          <w:szCs w:val="24"/>
        </w:rPr>
      </w:pPr>
      <w:r w:rsidRPr="00953067">
        <w:rPr>
          <w:rFonts w:eastAsia="Calibri" w:cs="Times New Roman"/>
          <w:szCs w:val="24"/>
        </w:rPr>
        <w:t xml:space="preserve">Los humanos usan mecanismos generales de aprendizaje para resolver las tareas a las que se enfrentan y su sistema de creencias y conocimientos surge de acuerdo a los principios generales de inducción, formación de ambientes, analogía, asociación. La factual de lenguaje incorpora principios bastante específicos que se encuentra más allá de cualquier mecanismo general de aprendizaje y hay buenas razones para suponer que esta es solo una de entre diversas facultades especiales de la mente. </w:t>
      </w:r>
      <w:bookmarkStart w:id="0" w:name="_GoBack"/>
      <w:bookmarkEnd w:id="0"/>
    </w:p>
    <w:p w:rsidR="00953067" w:rsidRDefault="00953067" w:rsidP="00953067">
      <w:pPr>
        <w:spacing w:line="480" w:lineRule="auto"/>
      </w:pPr>
      <w:r w:rsidRPr="00953067">
        <w:rPr>
          <w:rFonts w:eastAsia="Calibri" w:cs="Times New Roman"/>
          <w:szCs w:val="24"/>
        </w:rPr>
        <w:t>La cuestión es por que selecciona infaliblemente el niño las reglas dependientes de la estructura, más complejas, cuando adquiere y usa el lenguaje, sin pararse a considerar las reglas lineales, que tienen muy a mano.</w:t>
      </w:r>
    </w:p>
    <w:sectPr w:rsidR="00953067" w:rsidSect="0057750A">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50A"/>
    <w:rsid w:val="00046B4E"/>
    <w:rsid w:val="00113F95"/>
    <w:rsid w:val="001D7D26"/>
    <w:rsid w:val="0038509A"/>
    <w:rsid w:val="0057750A"/>
    <w:rsid w:val="0090703D"/>
    <w:rsid w:val="00922577"/>
    <w:rsid w:val="00945588"/>
    <w:rsid w:val="00953067"/>
    <w:rsid w:val="009A3DA2"/>
    <w:rsid w:val="00CD4A6E"/>
    <w:rsid w:val="00D3702F"/>
    <w:rsid w:val="00EC13F7"/>
    <w:rsid w:val="00FB02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Pa"/>
    <w:qFormat/>
    <w:rsid w:val="00046B4E"/>
    <w:pPr>
      <w:spacing w:line="360" w:lineRule="auto"/>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775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530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0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Pa"/>
    <w:qFormat/>
    <w:rsid w:val="00046B4E"/>
    <w:pPr>
      <w:spacing w:line="360" w:lineRule="auto"/>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775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530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0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1257</Words>
  <Characters>6918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karla duran</cp:lastModifiedBy>
  <cp:revision>2</cp:revision>
  <dcterms:created xsi:type="dcterms:W3CDTF">2018-09-06T01:39:00Z</dcterms:created>
  <dcterms:modified xsi:type="dcterms:W3CDTF">2018-09-06T01:39:00Z</dcterms:modified>
</cp:coreProperties>
</file>