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014796DE" w14:textId="6154D5D1" w:rsidR="00271714" w:rsidRDefault="00DC48C8" w:rsidP="00271714">
      <w:pPr>
        <w:jc w:val="center"/>
        <w:rPr>
          <w:b/>
          <w:sz w:val="36"/>
        </w:rPr>
      </w:pPr>
      <w:r w:rsidRPr="004C6F78">
        <w:rPr>
          <w:b/>
          <w:sz w:val="36"/>
        </w:rPr>
        <w:t>ALUMNA</w:t>
      </w:r>
      <w:r>
        <w:rPr>
          <w:b/>
          <w:sz w:val="36"/>
        </w:rPr>
        <w:t xml:space="preserve">: </w:t>
      </w:r>
      <w:r w:rsidR="00271714">
        <w:rPr>
          <w:b/>
          <w:sz w:val="36"/>
        </w:rPr>
        <w:t>Mariana Marcela Quezada Villagomez</w:t>
      </w:r>
    </w:p>
    <w:p w14:paraId="0E9BA1DC" w14:textId="70AFC44B" w:rsidR="00271714" w:rsidRDefault="00271714" w:rsidP="00271714">
      <w:pPr>
        <w:jc w:val="center"/>
        <w:rPr>
          <w:b/>
          <w:sz w:val="36"/>
        </w:rPr>
      </w:pPr>
      <w:r>
        <w:rPr>
          <w:b/>
          <w:sz w:val="36"/>
        </w:rPr>
        <w:t>Numero de lista: #17</w:t>
      </w:r>
      <w:bookmarkStart w:id="0" w:name="_GoBack"/>
      <w:bookmarkEnd w:id="0"/>
    </w:p>
    <w:p w14:paraId="5A8152BE" w14:textId="77777777" w:rsidR="00DC48C8" w:rsidRDefault="00DC48C8" w:rsidP="00DC48C8">
      <w:pPr>
        <w:contextualSpacing/>
        <w:jc w:val="center"/>
        <w:rPr>
          <w:b/>
          <w:sz w:val="36"/>
        </w:rPr>
      </w:pPr>
    </w:p>
    <w:p w14:paraId="524D9D82" w14:textId="165D0FE1" w:rsidR="00DC48C8" w:rsidRDefault="00DC48C8" w:rsidP="003E27DE">
      <w:pPr>
        <w:rPr>
          <w:b/>
          <w:sz w:val="36"/>
        </w:rPr>
      </w:pP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w:t>
            </w:r>
            <w:r w:rsidRPr="00B00AC5">
              <w:rPr>
                <w:rFonts w:ascii="Times" w:eastAsia="Times New Roman" w:hAnsi="Times" w:cs="Times New Roman"/>
                <w:color w:val="000000"/>
                <w:sz w:val="20"/>
                <w:szCs w:val="27"/>
                <w:lang w:eastAsia="es-ES"/>
              </w:rPr>
              <w:lastRenderedPageBreak/>
              <w:t>aprendizaje a través de un contexto social en el 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 xml:space="preserve">Piaget nos ofrece 4 etapas del </w:t>
            </w:r>
            <w:r w:rsidRPr="00B00AC5">
              <w:rPr>
                <w:rFonts w:eastAsia="Times New Roman"/>
                <w:color w:val="000000"/>
                <w:szCs w:val="27"/>
              </w:rPr>
              <w:lastRenderedPageBreak/>
              <w:t>desarrollo cognitivo:</w:t>
            </w:r>
            <w:r>
              <w:rPr>
                <w:rFonts w:eastAsia="Times New Roman"/>
                <w:color w:val="000000"/>
                <w:szCs w:val="27"/>
              </w:rPr>
              <w:t xml:space="preserve"> </w:t>
            </w:r>
            <w:r w:rsidRPr="00B00AC5">
              <w:rPr>
                <w:color w:val="000000"/>
                <w:sz w:val="18"/>
                <w:szCs w:val="27"/>
              </w:rPr>
              <w:t>Etapa 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w:t>
            </w:r>
            <w:r w:rsidRPr="00B00AC5">
              <w:rPr>
                <w:color w:val="000000"/>
                <w:sz w:val="18"/>
                <w:szCs w:val="27"/>
              </w:rPr>
              <w:lastRenderedPageBreak/>
              <w:t>en el lugar de los demás, actuar y jugar 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concretas: etapa de desarrollo cognitivo en el que empieza a usarse la lógica para llegar a conclusiones válidas, siempre y cuando las premisas desde las que se parte tengan que ver con situaciones concretas y no </w:t>
            </w:r>
            <w:r w:rsidRPr="00B00AC5">
              <w:rPr>
                <w:color w:val="000000"/>
                <w:sz w:val="18"/>
                <w:szCs w:val="27"/>
              </w:rPr>
              <w:lastRenderedPageBreak/>
              <w:t>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Etapa de las operaciones 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w:t>
            </w:r>
            <w:r w:rsidRPr="00B00AC5">
              <w:rPr>
                <w:color w:val="000000"/>
                <w:szCs w:val="27"/>
              </w:rPr>
              <w:lastRenderedPageBreak/>
              <w:t>individuo se relaciona, contrario a lo que dice 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w:t>
            </w:r>
            <w:r w:rsidRPr="00B00AC5">
              <w:rPr>
                <w:rFonts w:ascii="Times" w:eastAsia="Times New Roman" w:hAnsi="Times" w:cs="Times New Roman"/>
                <w:color w:val="000000"/>
                <w:sz w:val="20"/>
                <w:szCs w:val="27"/>
                <w:lang w:eastAsia="es-ES"/>
              </w:rPr>
              <w:lastRenderedPageBreak/>
              <w:t>mismos. El resultado del desarrollo cognitivo es 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w:t>
            </w:r>
            <w:r w:rsidRPr="00B00AC5">
              <w:rPr>
                <w:rFonts w:ascii="Times" w:eastAsia="Times New Roman" w:hAnsi="Times" w:cs="Times New Roman"/>
                <w:color w:val="000000"/>
                <w:sz w:val="20"/>
                <w:szCs w:val="27"/>
                <w:lang w:eastAsia="es-ES"/>
              </w:rPr>
              <w:lastRenderedPageBreak/>
              <w:t>de vida, que a su vez de subdividen 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 xml:space="preserve">e entiende por desarrollo cuando el </w:t>
            </w:r>
            <w:r w:rsidRPr="00B00AC5">
              <w:rPr>
                <w:rFonts w:ascii="Times" w:eastAsia="Times New Roman" w:hAnsi="Times" w:cs="Times New Roman"/>
                <w:color w:val="000000"/>
                <w:sz w:val="20"/>
                <w:szCs w:val="27"/>
                <w:lang w:eastAsia="es-ES"/>
              </w:rPr>
              <w:lastRenderedPageBreak/>
              <w:t>individuo a medida que va transcurriendo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l apego como vinculo emociona</w:t>
            </w:r>
            <w:r w:rsidRPr="00B00AC5">
              <w:rPr>
                <w:rFonts w:ascii="Times" w:eastAsia="Times New Roman" w:hAnsi="Times" w:cs="Times New Roman"/>
                <w:color w:val="000000"/>
                <w:sz w:val="27"/>
                <w:szCs w:val="27"/>
                <w:lang w:eastAsia="es-ES"/>
              </w:rPr>
              <w:lastRenderedPageBreak/>
              <w:t>l que desarrolla el niño 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w:t>
            </w:r>
            <w:r w:rsidRPr="00B00AC5">
              <w:rPr>
                <w:rFonts w:ascii="Times" w:eastAsia="Times New Roman" w:hAnsi="Times" w:cs="Times New Roman"/>
                <w:color w:val="000000"/>
                <w:sz w:val="27"/>
                <w:szCs w:val="27"/>
                <w:lang w:eastAsia="es-ES"/>
              </w:rPr>
              <w:lastRenderedPageBreak/>
              <w:t>desarrollo de los individuos a través de los 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la inteligencia es un término genérico que 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Para Vigotsky (1979, 1995a) la inteligencia es un 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t>L</w:t>
            </w:r>
            <w:r w:rsidRPr="008148F5">
              <w:rPr>
                <w:rFonts w:ascii="Times" w:eastAsia="Times New Roman" w:hAnsi="Times" w:cs="Times New Roman"/>
                <w:color w:val="000000"/>
                <w:sz w:val="20"/>
                <w:szCs w:val="27"/>
                <w:lang w:eastAsia="es-ES"/>
              </w:rPr>
              <w:t>a inteligencia no es una función vacia ya que se apoya en 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1F5EE384" w14:textId="61ACBD79" w:rsidR="00B47E9F" w:rsidRPr="00C762AB" w:rsidRDefault="00C762AB" w:rsidP="00C762AB">
            <w:pPr>
              <w:rPr>
                <w:sz w:val="20"/>
              </w:rPr>
            </w:pPr>
            <w:r w:rsidRPr="00C762AB">
              <w:rPr>
                <w:color w:val="000000"/>
                <w:sz w:val="20"/>
                <w:szCs w:val="27"/>
              </w:rPr>
              <w:t>La maduración se da cuando el niño haya pasado por todas las etapas que se manejan en esta teoría.</w:t>
            </w:r>
          </w:p>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w:t>
            </w:r>
            <w:r w:rsidRPr="0056619C">
              <w:rPr>
                <w:rFonts w:ascii="Times" w:eastAsia="Times New Roman" w:hAnsi="Times" w:cs="Times New Roman"/>
                <w:color w:val="000000"/>
                <w:sz w:val="20"/>
                <w:szCs w:val="27"/>
                <w:lang w:eastAsia="es-ES"/>
              </w:rPr>
              <w:lastRenderedPageBreak/>
              <w:t>la combinación de todas las habilidades específicas 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w:t>
            </w:r>
            <w:r w:rsidRPr="0056619C">
              <w:rPr>
                <w:rFonts w:ascii="Times" w:eastAsia="Times New Roman" w:hAnsi="Times" w:cs="Times New Roman"/>
                <w:color w:val="000000"/>
                <w:sz w:val="20"/>
                <w:szCs w:val="27"/>
                <w:lang w:eastAsia="es-ES"/>
              </w:rPr>
              <w:lastRenderedPageBreak/>
              <w:t xml:space="preserve">produjeron una impresionante cantidad de estudios 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w:t>
            </w:r>
            <w:r w:rsidRPr="0056619C">
              <w:rPr>
                <w:rFonts w:ascii="Times" w:eastAsia="Times New Roman" w:hAnsi="Times" w:cs="Times New Roman"/>
                <w:color w:val="000000"/>
                <w:sz w:val="20"/>
                <w:szCs w:val="27"/>
                <w:lang w:eastAsia="es-ES"/>
              </w:rPr>
              <w:lastRenderedPageBreak/>
              <w:t>partir de la conducta como los efectos de 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w:t>
            </w:r>
            <w:r w:rsidRPr="0056619C">
              <w:rPr>
                <w:rFonts w:ascii="Times" w:eastAsia="Times New Roman" w:hAnsi="Times" w:cs="Times New Roman"/>
                <w:color w:val="000000"/>
                <w:sz w:val="20"/>
                <w:szCs w:val="27"/>
                <w:lang w:eastAsia="es-ES"/>
              </w:rPr>
              <w:lastRenderedPageBreak/>
              <w:t>establece que las habilidades sociales se adquieren mediante 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w:t>
            </w:r>
            <w:r w:rsidRPr="00787DFF">
              <w:rPr>
                <w:rFonts w:ascii="Times" w:eastAsia="Times New Roman" w:hAnsi="Times" w:cs="Times New Roman"/>
                <w:color w:val="000000"/>
                <w:sz w:val="20"/>
                <w:szCs w:val="27"/>
                <w:lang w:eastAsia="es-ES"/>
              </w:rPr>
              <w:lastRenderedPageBreak/>
              <w:t>el desarrollo cognoscitivo de los niños. 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w:t>
            </w:r>
            <w:r w:rsidRPr="00787DFF">
              <w:rPr>
                <w:rFonts w:ascii="Times" w:eastAsia="Times New Roman" w:hAnsi="Times" w:cs="Times New Roman"/>
                <w:color w:val="000000"/>
                <w:sz w:val="20"/>
                <w:szCs w:val="27"/>
                <w:lang w:eastAsia="es-ES"/>
              </w:rPr>
              <w:lastRenderedPageBreak/>
              <w:t xml:space="preserve">funciones mentales inferiores y las funciones mentales superiores y, 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w:t>
            </w:r>
            <w:r w:rsidRPr="00787DFF">
              <w:rPr>
                <w:rFonts w:ascii="Times" w:eastAsia="Times New Roman" w:hAnsi="Times" w:cs="Times New Roman"/>
                <w:color w:val="000000"/>
                <w:sz w:val="20"/>
                <w:szCs w:val="27"/>
                <w:lang w:eastAsia="es-ES"/>
              </w:rPr>
              <w:lastRenderedPageBreak/>
              <w:t>psicológica más importante es el lenguaje. Inicialmente, 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w:t>
            </w:r>
            <w:r w:rsidRPr="00787DFF">
              <w:rPr>
                <w:rFonts w:ascii="Times" w:eastAsia="Times New Roman" w:hAnsi="Times" w:cs="Times New Roman"/>
                <w:color w:val="000000"/>
                <w:sz w:val="20"/>
                <w:szCs w:val="27"/>
                <w:lang w:eastAsia="es-ES"/>
              </w:rPr>
              <w:lastRenderedPageBreak/>
              <w:t xml:space="preserve">sus habilidades de resolución de problemas 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w:t>
            </w:r>
            <w:r w:rsidRPr="00787DFF">
              <w:rPr>
                <w:rFonts w:ascii="Times" w:eastAsia="Times New Roman" w:hAnsi="Times" w:cs="Times New Roman"/>
                <w:color w:val="000000"/>
                <w:sz w:val="20"/>
                <w:szCs w:val="27"/>
                <w:lang w:eastAsia="es-ES"/>
              </w:rPr>
              <w:lastRenderedPageBreak/>
              <w:t>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w:t>
            </w:r>
            <w:r w:rsidRPr="00787DFF">
              <w:rPr>
                <w:rFonts w:ascii="Times" w:eastAsia="Times New Roman" w:hAnsi="Times" w:cs="Times New Roman"/>
                <w:color w:val="000000"/>
                <w:sz w:val="20"/>
                <w:szCs w:val="27"/>
                <w:lang w:eastAsia="es-ES"/>
              </w:rPr>
              <w:lastRenderedPageBreak/>
              <w:t xml:space="preserve">la mente convierte un suceso (un hecho, persona o emoción) 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w:t>
            </w:r>
            <w:r w:rsidRPr="00787DFF">
              <w:rPr>
                <w:rFonts w:ascii="Times" w:eastAsia="Times New Roman" w:hAnsi="Times" w:cs="Times New Roman"/>
                <w:color w:val="000000"/>
                <w:sz w:val="20"/>
                <w:szCs w:val="27"/>
                <w:lang w:eastAsia="es-ES"/>
              </w:rPr>
              <w:lastRenderedPageBreak/>
              <w:t>casos, originando patologías psíquicas (como la histeria, la 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w:t>
            </w:r>
            <w:r w:rsidRPr="00787DFF">
              <w:rPr>
                <w:rFonts w:ascii="Times" w:eastAsia="Times New Roman" w:hAnsi="Times" w:cs="Times New Roman"/>
                <w:color w:val="000000"/>
                <w:sz w:val="20"/>
                <w:szCs w:val="27"/>
                <w:lang w:eastAsia="es-ES"/>
              </w:rPr>
              <w:lastRenderedPageBreak/>
              <w:t>vergüenza y duda se da como objetivo principal al final de 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w:t>
            </w:r>
            <w:r w:rsidRPr="00787DFF">
              <w:rPr>
                <w:rFonts w:ascii="Times" w:eastAsia="Times New Roman" w:hAnsi="Times" w:cs="Times New Roman"/>
                <w:color w:val="000000"/>
                <w:sz w:val="20"/>
                <w:szCs w:val="27"/>
                <w:lang w:eastAsia="es-ES"/>
              </w:rPr>
              <w:lastRenderedPageBreak/>
              <w:t>situación donde el niño crea temor y ansiedad. Las 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w:t>
            </w:r>
            <w:r w:rsidRPr="0056619C">
              <w:rPr>
                <w:rFonts w:ascii="Times" w:eastAsia="Times New Roman" w:hAnsi="Times" w:cs="Times New Roman"/>
                <w:color w:val="000000"/>
                <w:sz w:val="20"/>
                <w:szCs w:val="27"/>
                <w:lang w:eastAsia="es-ES"/>
              </w:rPr>
              <w:lastRenderedPageBreak/>
              <w:t>serie de sistemas que se superponen como ontosistema, hace referencia a las características propias de cada 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w:t>
            </w:r>
            <w:r w:rsidRPr="00C42FFC">
              <w:rPr>
                <w:rFonts w:ascii="Times" w:eastAsia="Times New Roman" w:hAnsi="Times" w:cs="Times New Roman"/>
                <w:color w:val="000000"/>
                <w:sz w:val="20"/>
                <w:szCs w:val="27"/>
                <w:lang w:eastAsia="es-ES"/>
              </w:rPr>
              <w:lastRenderedPageBreak/>
              <w:t>decir, tendemos a repetir acciones que 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w:t>
            </w:r>
            <w:r w:rsidRPr="00C42FFC">
              <w:rPr>
                <w:rFonts w:ascii="Arial" w:hAnsi="Arial" w:cs="Arial"/>
                <w:sz w:val="20"/>
              </w:rPr>
              <w:lastRenderedPageBreak/>
              <w:t>pensamiento era en realidad una forma de lenguaje 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w:t>
            </w:r>
            <w:r w:rsidRPr="00C42FFC">
              <w:rPr>
                <w:rFonts w:ascii="Arial" w:hAnsi="Arial" w:cs="Arial"/>
                <w:sz w:val="20"/>
                <w:shd w:val="clear" w:color="auto" w:fill="FFFFFF"/>
              </w:rPr>
              <w:lastRenderedPageBreak/>
              <w:t>participan dos personas: el modelo, que realiza una 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w:t>
            </w:r>
            <w:r w:rsidRPr="00C42FFC">
              <w:rPr>
                <w:rStyle w:val="Textoennegrita"/>
                <w:rFonts w:ascii="Arial" w:hAnsi="Arial" w:cs="Arial"/>
                <w:b w:val="0"/>
                <w:sz w:val="20"/>
                <w:shd w:val="clear" w:color="auto" w:fill="FFFFFF"/>
              </w:rPr>
              <w:lastRenderedPageBreak/>
              <w:t xml:space="preserve">vinculado con el desarrollo cognitivo. </w:t>
            </w:r>
            <w:r w:rsidRPr="00C42FFC">
              <w:rPr>
                <w:rFonts w:ascii="Arial" w:eastAsia="Times New Roman" w:hAnsi="Arial" w:cs="Arial"/>
                <w:sz w:val="20"/>
                <w:lang w:eastAsia="es-MX"/>
              </w:rPr>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El lenguaje es fuente de la unidad de las funciones comunicativ</w:t>
            </w:r>
            <w:r w:rsidRPr="00C42FFC">
              <w:rPr>
                <w:rFonts w:ascii="Arial" w:hAnsi="Arial" w:cs="Arial"/>
                <w:sz w:val="20"/>
              </w:rPr>
              <w:lastRenderedPageBreak/>
              <w:t>as y representativas de nuestro 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lastRenderedPageBreak/>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una 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w:t>
            </w:r>
            <w:r w:rsidRPr="00C42FFC">
              <w:rPr>
                <w:rFonts w:ascii="Arial" w:hAnsi="Arial" w:cs="Arial"/>
                <w:color w:val="333333"/>
                <w:sz w:val="20"/>
                <w:shd w:val="clear" w:color="auto" w:fill="FFFFFF"/>
              </w:rPr>
              <w:lastRenderedPageBreak/>
              <w:t>los conflictos internos del sujeto, 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w:t>
            </w:r>
            <w:r w:rsidRPr="00C42FFC">
              <w:rPr>
                <w:rFonts w:ascii="Arial" w:hAnsi="Arial" w:cs="Arial"/>
                <w:sz w:val="20"/>
              </w:rPr>
              <w:lastRenderedPageBreak/>
              <w:t>autonomía vs vergüenza y duda que es de los 2 a los 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 xml:space="preserve">El niño va construyendo su propio lenguaje y a través del contacto </w:t>
            </w:r>
            <w:r w:rsidRPr="00C42FFC">
              <w:rPr>
                <w:rFonts w:ascii="Arial" w:hAnsi="Arial" w:cs="Arial"/>
                <w:sz w:val="20"/>
              </w:rPr>
              <w:lastRenderedPageBreak/>
              <w:t>con la familia, sobre todo la madre. 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 xml:space="preserve">El niño construye su lenguaje debido a la interacción que desarrolla en el ambiente los valores, la cultura sus costumbres. </w:t>
            </w:r>
            <w:r w:rsidRPr="00C42FFC">
              <w:rPr>
                <w:rFonts w:ascii="Arial" w:hAnsi="Arial" w:cs="Arial"/>
                <w:sz w:val="20"/>
              </w:rPr>
              <w:lastRenderedPageBreak/>
              <w:t>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w:t>
            </w:r>
            <w:r w:rsidRPr="004210D8">
              <w:rPr>
                <w:rFonts w:ascii="Times" w:eastAsia="Times New Roman" w:hAnsi="Times" w:cs="Times New Roman"/>
                <w:color w:val="000000"/>
                <w:sz w:val="20"/>
                <w:szCs w:val="27"/>
                <w:lang w:eastAsia="es-ES"/>
              </w:rPr>
              <w:lastRenderedPageBreak/>
              <w:t xml:space="preserve">Conductismo habla de que “Deseamos recalcar ahora que 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w:t>
            </w:r>
            <w:r w:rsidRPr="004210D8">
              <w:rPr>
                <w:rFonts w:ascii="Times" w:eastAsia="Times New Roman" w:hAnsi="Times" w:cs="Times New Roman"/>
                <w:color w:val="000000"/>
                <w:sz w:val="20"/>
                <w:szCs w:val="27"/>
                <w:lang w:eastAsia="es-ES"/>
              </w:rPr>
              <w:lastRenderedPageBreak/>
              <w:t>consiguiente, pensamos y planeamos con todo el cuerpo. 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w:t>
            </w:r>
            <w:r w:rsidRPr="004210D8">
              <w:rPr>
                <w:rFonts w:ascii="Times" w:eastAsia="Times New Roman" w:hAnsi="Times" w:cs="Times New Roman"/>
                <w:color w:val="000000"/>
                <w:sz w:val="20"/>
                <w:szCs w:val="27"/>
                <w:lang w:eastAsia="es-ES"/>
              </w:rPr>
              <w:lastRenderedPageBreak/>
              <w:t>en la que piense que va a ganar una mayor 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w:t>
            </w:r>
            <w:r w:rsidRPr="004210D8">
              <w:rPr>
                <w:color w:val="000000"/>
                <w:sz w:val="18"/>
                <w:szCs w:val="27"/>
              </w:rPr>
              <w:lastRenderedPageBreak/>
              <w:t xml:space="preserve">la acción del niño para Piaget el pensamiento es una 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w:t>
            </w:r>
            <w:r w:rsidRPr="004210D8">
              <w:rPr>
                <w:color w:val="000000"/>
                <w:sz w:val="18"/>
                <w:szCs w:val="27"/>
              </w:rPr>
              <w:lastRenderedPageBreak/>
              <w:t>de forma distinta a distintas edades). Piaget relacionara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w:t>
            </w:r>
            <w:r w:rsidRPr="004210D8">
              <w:rPr>
                <w:color w:val="000000"/>
                <w:szCs w:val="27"/>
              </w:rPr>
              <w:lastRenderedPageBreak/>
              <w:t>pensamiento es una construcción social, que 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w:t>
            </w:r>
            <w:r w:rsidRPr="004210D8">
              <w:rPr>
                <w:color w:val="000000"/>
                <w:szCs w:val="27"/>
              </w:rPr>
              <w:lastRenderedPageBreak/>
              <w:t>implica una interacción entre las capacidades humanas básicas y las “tecnologías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w:t>
            </w:r>
            <w:r w:rsidRPr="004210D8">
              <w:rPr>
                <w:color w:val="000000"/>
                <w:szCs w:val="27"/>
              </w:rPr>
              <w:lastRenderedPageBreak/>
              <w:t>la educación no es impartir conocimiento,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w:t>
            </w:r>
            <w:r w:rsidRPr="004210D8">
              <w:rPr>
                <w:color w:val="000000"/>
                <w:szCs w:val="27"/>
              </w:rPr>
              <w:lastRenderedPageBreak/>
              <w:t>manipulación de las representaciones 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w:t>
            </w:r>
            <w:r w:rsidRPr="00D024DA">
              <w:rPr>
                <w:rFonts w:ascii="Times" w:eastAsia="Times New Roman" w:hAnsi="Times" w:cs="Times New Roman"/>
                <w:color w:val="000000"/>
                <w:sz w:val="20"/>
                <w:szCs w:val="27"/>
                <w:lang w:eastAsia="es-ES"/>
              </w:rPr>
              <w:lastRenderedPageBreak/>
              <w:t>humano para reflexionar que puede ser influido por 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 xml:space="preserve">Capacidad de asimilar y </w:t>
            </w:r>
            <w:r>
              <w:rPr>
                <w:color w:val="000000"/>
                <w:sz w:val="27"/>
                <w:szCs w:val="27"/>
              </w:rPr>
              <w:lastRenderedPageBreak/>
              <w:t>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 xml:space="preserve">uando las situaciones </w:t>
            </w:r>
            <w:r w:rsidRPr="00116DEC">
              <w:rPr>
                <w:rFonts w:ascii="Georgia" w:hAnsi="Georgia"/>
                <w:color w:val="000000" w:themeColor="text1"/>
                <w:sz w:val="18"/>
                <w:szCs w:val="20"/>
                <w:shd w:val="clear" w:color="auto" w:fill="FFFFFF"/>
              </w:rPr>
              <w:lastRenderedPageBreak/>
              <w:t>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w:t>
            </w:r>
            <w:r w:rsidRPr="006C7CCE">
              <w:rPr>
                <w:rFonts w:ascii="Georgia" w:hAnsi="Georgia"/>
                <w:sz w:val="20"/>
                <w:szCs w:val="20"/>
              </w:rPr>
              <w:lastRenderedPageBreak/>
              <w:t>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lastRenderedPageBreak/>
              <w:t>Comprender có</w:t>
            </w:r>
            <w:r w:rsidRPr="006C7CCE">
              <w:rPr>
                <w:rFonts w:ascii="Georgia" w:hAnsi="Georgia"/>
                <w:sz w:val="20"/>
                <w:szCs w:val="20"/>
              </w:rPr>
              <w:t xml:space="preserve">mo por medio de la observación e </w:t>
            </w:r>
            <w:r w:rsidRPr="006C7CCE">
              <w:rPr>
                <w:rFonts w:ascii="Georgia" w:hAnsi="Georgia"/>
                <w:sz w:val="20"/>
                <w:szCs w:val="20"/>
              </w:rPr>
              <w:lastRenderedPageBreak/>
              <w:t>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lastRenderedPageBreak/>
              <w:t>(Forma, tamaño o apariencia).</w:t>
            </w:r>
          </w:p>
        </w:tc>
        <w:tc>
          <w:tcPr>
            <w:tcW w:w="1276" w:type="dxa"/>
          </w:tcPr>
          <w:p w14:paraId="729185E1" w14:textId="77777777" w:rsidR="00B47E9F" w:rsidRDefault="00A577B7" w:rsidP="008148F5">
            <w:r w:rsidRPr="00AD14FD">
              <w:rPr>
                <w:rFonts w:ascii="Georgia" w:hAnsi="Georgia"/>
                <w:sz w:val="20"/>
                <w:szCs w:val="20"/>
              </w:rPr>
              <w:lastRenderedPageBreak/>
              <w:t xml:space="preserve">Consiste en vincular la palabra del hablante a una contra </w:t>
            </w:r>
            <w:r w:rsidRPr="00AD14FD">
              <w:rPr>
                <w:rFonts w:ascii="Georgia" w:hAnsi="Georgia"/>
                <w:sz w:val="20"/>
                <w:szCs w:val="20"/>
              </w:rPr>
              <w:lastRenderedPageBreak/>
              <w:t>palabra (entendiéndose como 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w:t>
            </w:r>
            <w:r w:rsidRPr="00CB3BC0">
              <w:rPr>
                <w:rFonts w:ascii="Georgia" w:hAnsi="Georgia"/>
                <w:sz w:val="20"/>
                <w:szCs w:val="20"/>
              </w:rPr>
              <w:lastRenderedPageBreak/>
              <w:t>inglés corriente como 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lastRenderedPageBreak/>
              <w:t>capacidad de autoconocimiento.</w:t>
            </w:r>
          </w:p>
        </w:tc>
        <w:tc>
          <w:tcPr>
            <w:tcW w:w="1276" w:type="dxa"/>
          </w:tcPr>
          <w:p w14:paraId="52AE8909" w14:textId="77777777" w:rsidR="00B47E9F" w:rsidRDefault="00A577B7" w:rsidP="008148F5">
            <w:r>
              <w:lastRenderedPageBreak/>
              <w:t xml:space="preserve">Es la profundidad para llegar a </w:t>
            </w:r>
            <w:r>
              <w:lastRenderedPageBreak/>
              <w:t>comprender el porqué de los 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 xml:space="preserve">Comprender el desarrollo pasa por estudiar el individuo en los diferentes </w:t>
            </w:r>
            <w:r w:rsidRPr="000C5A57">
              <w:rPr>
                <w:rFonts w:ascii="Georgia" w:hAnsi="Georgia"/>
                <w:color w:val="333333"/>
                <w:sz w:val="20"/>
                <w:szCs w:val="20"/>
                <w:shd w:val="clear" w:color="auto" w:fill="FFFFFF"/>
              </w:rPr>
              <w:lastRenderedPageBreak/>
              <w:t>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lastRenderedPageBreak/>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lastRenderedPageBreak/>
              <w:t xml:space="preserve">sostiene que </w:t>
            </w:r>
            <w:r w:rsidRPr="003E0F5D">
              <w:rPr>
                <w:rFonts w:ascii="Times" w:eastAsia="Times New Roman" w:hAnsi="Times" w:cs="Times New Roman"/>
                <w:color w:val="000000"/>
                <w:sz w:val="20"/>
                <w:szCs w:val="27"/>
                <w:lang w:eastAsia="es-ES"/>
              </w:rPr>
              <w:lastRenderedPageBreak/>
              <w:t>la forma de aprendizaje mas 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w:t>
            </w:r>
            <w:r w:rsidRPr="003E0F5D">
              <w:rPr>
                <w:rFonts w:ascii="Times" w:eastAsia="Times New Roman" w:hAnsi="Times" w:cs="Times New Roman"/>
                <w:color w:val="000000"/>
                <w:sz w:val="20"/>
                <w:szCs w:val="27"/>
                <w:lang w:eastAsia="es-ES"/>
              </w:rPr>
              <w:lastRenderedPageBreak/>
              <w:t>que nos dice nuestro sentido común, y la 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w:t>
            </w:r>
            <w:r w:rsidRPr="003E0F5D">
              <w:rPr>
                <w:rFonts w:ascii="Times" w:eastAsia="Times New Roman" w:hAnsi="Times" w:cs="Times New Roman"/>
                <w:color w:val="000000"/>
                <w:szCs w:val="27"/>
                <w:lang w:eastAsia="es-ES"/>
              </w:rPr>
              <w:lastRenderedPageBreak/>
              <w:t>percibimos a nosotros mismos, 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Es la </w:t>
            </w:r>
            <w:r w:rsidRPr="00B237D5">
              <w:rPr>
                <w:rFonts w:ascii="Times" w:eastAsia="Times New Roman" w:hAnsi="Times" w:cs="Times New Roman"/>
                <w:color w:val="000000"/>
                <w:sz w:val="20"/>
                <w:szCs w:val="27"/>
                <w:lang w:eastAsia="es-ES"/>
              </w:rPr>
              <w:lastRenderedPageBreak/>
              <w:t>asignación de continuidad y permanencia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w:t>
            </w:r>
            <w:r w:rsidRPr="00B237D5">
              <w:rPr>
                <w:rFonts w:ascii="Times" w:eastAsia="Times New Roman" w:hAnsi="Times" w:cs="Times New Roman"/>
                <w:color w:val="000000"/>
                <w:szCs w:val="27"/>
                <w:lang w:eastAsia="es-ES"/>
              </w:rPr>
              <w:lastRenderedPageBreak/>
              <w:t>establece un espacio similar para 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w:t>
            </w:r>
            <w:r w:rsidRPr="00B237D5">
              <w:rPr>
                <w:color w:val="000000"/>
                <w:szCs w:val="27"/>
              </w:rPr>
              <w:lastRenderedPageBreak/>
              <w:t>génesis de su planteamiento tenía el 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w:t>
            </w:r>
            <w:r w:rsidRPr="00B237D5">
              <w:rPr>
                <w:rFonts w:ascii="Times" w:eastAsia="Times New Roman" w:hAnsi="Times" w:cs="Times New Roman"/>
                <w:color w:val="000000"/>
                <w:sz w:val="20"/>
                <w:szCs w:val="27"/>
                <w:lang w:eastAsia="es-ES"/>
              </w:rPr>
              <w:lastRenderedPageBreak/>
              <w:t>es el inconsciente del ser 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w:t>
            </w:r>
            <w:r w:rsidRPr="00B237D5">
              <w:rPr>
                <w:rFonts w:ascii="Times" w:eastAsia="Times New Roman" w:hAnsi="Times" w:cs="Times New Roman"/>
                <w:color w:val="000000"/>
                <w:sz w:val="20"/>
                <w:szCs w:val="27"/>
                <w:lang w:eastAsia="es-ES"/>
              </w:rPr>
              <w:lastRenderedPageBreak/>
              <w:t>referencia al sentido consciente de uno mismo que 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w:t>
            </w:r>
            <w:r w:rsidRPr="00B237D5">
              <w:rPr>
                <w:rFonts w:ascii="Times" w:eastAsia="Times New Roman" w:hAnsi="Times" w:cs="Times New Roman"/>
                <w:color w:val="000000"/>
                <w:sz w:val="20"/>
                <w:szCs w:val="27"/>
                <w:lang w:eastAsia="es-ES"/>
              </w:rPr>
              <w:lastRenderedPageBreak/>
              <w:t>formación de una buena identidad 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w:t>
            </w:r>
            <w:r w:rsidRPr="00B237D5">
              <w:rPr>
                <w:rFonts w:ascii="Times" w:eastAsia="Times New Roman" w:hAnsi="Times" w:cs="Times New Roman"/>
                <w:color w:val="000000"/>
                <w:szCs w:val="27"/>
                <w:lang w:eastAsia="es-ES"/>
              </w:rPr>
              <w:lastRenderedPageBreak/>
              <w:t>humano se da en interacción con las variables genéticas 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5F95" w14:textId="77777777" w:rsidR="00A52864" w:rsidRDefault="00A52864" w:rsidP="00DC48C8">
      <w:pPr>
        <w:spacing w:after="0" w:line="240" w:lineRule="auto"/>
      </w:pPr>
      <w:r>
        <w:separator/>
      </w:r>
    </w:p>
  </w:endnote>
  <w:endnote w:type="continuationSeparator" w:id="0">
    <w:p w14:paraId="70AC42C8" w14:textId="77777777" w:rsidR="00A52864" w:rsidRDefault="00A52864"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F48DE" w14:textId="77777777" w:rsidR="00A52864" w:rsidRDefault="00A52864" w:rsidP="00DC48C8">
      <w:pPr>
        <w:spacing w:after="0" w:line="240" w:lineRule="auto"/>
      </w:pPr>
      <w:r>
        <w:separator/>
      </w:r>
    </w:p>
  </w:footnote>
  <w:footnote w:type="continuationSeparator" w:id="0">
    <w:p w14:paraId="4C4CBDED" w14:textId="77777777" w:rsidR="00A52864" w:rsidRDefault="00A52864"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1B6BA2"/>
    <w:rsid w:val="00271714"/>
    <w:rsid w:val="0033031C"/>
    <w:rsid w:val="003E0F5D"/>
    <w:rsid w:val="003E27DE"/>
    <w:rsid w:val="004210D8"/>
    <w:rsid w:val="0056619C"/>
    <w:rsid w:val="005C2C8D"/>
    <w:rsid w:val="007231AB"/>
    <w:rsid w:val="00787DFF"/>
    <w:rsid w:val="008148F5"/>
    <w:rsid w:val="009231F5"/>
    <w:rsid w:val="009C36AD"/>
    <w:rsid w:val="00A25ABC"/>
    <w:rsid w:val="00A52864"/>
    <w:rsid w:val="00A577B7"/>
    <w:rsid w:val="00B00AC5"/>
    <w:rsid w:val="00B237D5"/>
    <w:rsid w:val="00B47E9F"/>
    <w:rsid w:val="00B55EBB"/>
    <w:rsid w:val="00C42FFC"/>
    <w:rsid w:val="00C6489A"/>
    <w:rsid w:val="00C762AB"/>
    <w:rsid w:val="00D024DA"/>
    <w:rsid w:val="00D05D60"/>
    <w:rsid w:val="00DC48C8"/>
    <w:rsid w:val="00FC339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48373B46-B9E4-4924-9C55-662EE764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41AA-D64B-42A4-96CC-9E4A2221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3432</Words>
  <Characters>18877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Marcela Villagomez Terrazas</cp:lastModifiedBy>
  <cp:revision>5</cp:revision>
  <dcterms:created xsi:type="dcterms:W3CDTF">2018-11-10T01:45:00Z</dcterms:created>
  <dcterms:modified xsi:type="dcterms:W3CDTF">2018-11-10T05:09:00Z</dcterms:modified>
</cp:coreProperties>
</file>