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5CB36CB8" w:rsidR="00DC48C8" w:rsidRDefault="00DC48C8" w:rsidP="00DC48C8">
      <w:pPr>
        <w:jc w:val="center"/>
        <w:rPr>
          <w:b/>
          <w:sz w:val="36"/>
        </w:rPr>
      </w:pPr>
      <w:r w:rsidRPr="004C6F78">
        <w:rPr>
          <w:b/>
          <w:sz w:val="36"/>
        </w:rPr>
        <w:t>ALUMNA</w:t>
      </w:r>
      <w:r w:rsidR="00047673">
        <w:rPr>
          <w:b/>
          <w:sz w:val="36"/>
        </w:rPr>
        <w:t xml:space="preserve">: </w:t>
      </w:r>
      <w:r w:rsidR="008C2005">
        <w:rPr>
          <w:b/>
          <w:sz w:val="36"/>
        </w:rPr>
        <w:t xml:space="preserve">Maria José Palacios López </w:t>
      </w:r>
    </w:p>
    <w:p w14:paraId="5A8152BE" w14:textId="77777777" w:rsidR="00DC48C8" w:rsidRDefault="00DC48C8" w:rsidP="00DC48C8">
      <w:pPr>
        <w:contextualSpacing/>
        <w:jc w:val="center"/>
        <w:rPr>
          <w:b/>
          <w:sz w:val="36"/>
        </w:rPr>
      </w:pPr>
    </w:p>
    <w:p w14:paraId="524D9D82" w14:textId="4D268B7C" w:rsidR="00DC48C8" w:rsidRDefault="00DC48C8" w:rsidP="00DC48C8">
      <w:pPr>
        <w:jc w:val="center"/>
        <w:rPr>
          <w:b/>
          <w:sz w:val="36"/>
        </w:rPr>
      </w:pPr>
      <w:r>
        <w:rPr>
          <w:b/>
          <w:sz w:val="36"/>
        </w:rPr>
        <w:t xml:space="preserve">Núm de lista: </w:t>
      </w:r>
      <w:r w:rsidR="008C2005">
        <w:rPr>
          <w:b/>
          <w:sz w:val="36"/>
        </w:rPr>
        <w:t>#15</w:t>
      </w:r>
      <w:bookmarkStart w:id="0" w:name="_GoBack"/>
      <w:bookmarkEnd w:id="0"/>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t>Pretend</w:t>
            </w:r>
            <w:r w:rsidRPr="00C42FFC">
              <w:rPr>
                <w:rFonts w:ascii="Arial" w:eastAsia="Times New Roman" w:hAnsi="Arial" w:cs="Arial"/>
                <w:sz w:val="20"/>
                <w:lang w:eastAsia="es-MX"/>
              </w:rPr>
              <w:lastRenderedPageBreak/>
              <w:t>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siempre </w:t>
            </w:r>
            <w:r w:rsidRPr="004210D8">
              <w:rPr>
                <w:rFonts w:ascii="Times" w:eastAsia="Times New Roman" w:hAnsi="Times" w:cs="Times New Roman"/>
                <w:color w:val="000000"/>
                <w:sz w:val="20"/>
                <w:szCs w:val="27"/>
                <w:lang w:eastAsia="es-ES"/>
              </w:rPr>
              <w:lastRenderedPageBreak/>
              <w:t xml:space="preserve">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w:t>
            </w:r>
            <w:r w:rsidRPr="004210D8">
              <w:rPr>
                <w:rFonts w:ascii="Times" w:eastAsia="Times New Roman" w:hAnsi="Times" w:cs="Times New Roman"/>
                <w:color w:val="000000"/>
                <w:sz w:val="20"/>
                <w:szCs w:val="27"/>
                <w:lang w:eastAsia="es-ES"/>
              </w:rPr>
              <w:lastRenderedPageBreak/>
              <w:t>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desea de </w:t>
            </w:r>
            <w:r w:rsidRPr="004210D8">
              <w:rPr>
                <w:rFonts w:ascii="Times" w:eastAsia="Times New Roman" w:hAnsi="Times" w:cs="Times New Roman"/>
                <w:color w:val="000000"/>
                <w:sz w:val="20"/>
                <w:szCs w:val="27"/>
                <w:lang w:eastAsia="es-ES"/>
              </w:rPr>
              <w:lastRenderedPageBreak/>
              <w:t>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actividad </w:t>
            </w:r>
            <w:r w:rsidRPr="004210D8">
              <w:rPr>
                <w:color w:val="000000"/>
                <w:sz w:val="18"/>
                <w:szCs w:val="27"/>
              </w:rPr>
              <w:lastRenderedPageBreak/>
              <w:t xml:space="preserve">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w:t>
            </w:r>
            <w:r w:rsidRPr="004210D8">
              <w:rPr>
                <w:color w:val="000000"/>
                <w:sz w:val="18"/>
                <w:szCs w:val="27"/>
              </w:rPr>
              <w:lastRenderedPageBreak/>
              <w:t>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atraves de la </w:t>
            </w:r>
            <w:r w:rsidRPr="004210D8">
              <w:rPr>
                <w:color w:val="000000"/>
                <w:szCs w:val="27"/>
              </w:rPr>
              <w:lastRenderedPageBreak/>
              <w:t>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“tecnologías </w:t>
            </w:r>
            <w:r w:rsidRPr="004210D8">
              <w:rPr>
                <w:color w:val="000000"/>
                <w:szCs w:val="27"/>
              </w:rPr>
              <w:lastRenderedPageBreak/>
              <w:t>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pensamiento </w:t>
            </w:r>
            <w:r w:rsidRPr="004210D8">
              <w:rPr>
                <w:color w:val="000000"/>
                <w:szCs w:val="27"/>
              </w:rPr>
              <w:lastRenderedPageBreak/>
              <w:t>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El pensamiento es la manipulación de las representaciones mentales de la informació</w:t>
            </w:r>
            <w:r w:rsidRPr="004210D8">
              <w:rPr>
                <w:color w:val="000000"/>
                <w:szCs w:val="27"/>
              </w:rPr>
              <w:lastRenderedPageBreak/>
              <w:t>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impulsos, </w:t>
            </w:r>
            <w:r w:rsidRPr="00D024DA">
              <w:rPr>
                <w:rFonts w:ascii="Times" w:eastAsia="Times New Roman" w:hAnsi="Times" w:cs="Times New Roman"/>
                <w:color w:val="000000"/>
                <w:sz w:val="20"/>
                <w:szCs w:val="27"/>
                <w:lang w:eastAsia="es-ES"/>
              </w:rPr>
              <w:lastRenderedPageBreak/>
              <w:t>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w:t>
            </w:r>
            <w:r w:rsidRPr="00116DEC">
              <w:rPr>
                <w:rFonts w:ascii="Georgia" w:hAnsi="Georgia"/>
                <w:color w:val="000000" w:themeColor="text1"/>
                <w:sz w:val="18"/>
                <w:szCs w:val="20"/>
                <w:shd w:val="clear" w:color="auto" w:fill="FFFFFF"/>
              </w:rPr>
              <w:lastRenderedPageBreak/>
              <w:t>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una palabra </w:t>
            </w:r>
            <w:r w:rsidRPr="00AD14FD">
              <w:rPr>
                <w:rFonts w:ascii="Georgia" w:hAnsi="Georgia"/>
                <w:sz w:val="20"/>
                <w:szCs w:val="20"/>
              </w:rPr>
              <w:lastRenderedPageBreak/>
              <w:t>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35DD4" w14:textId="77777777" w:rsidR="00E63FF3" w:rsidRDefault="00E63FF3" w:rsidP="00DC48C8">
      <w:pPr>
        <w:spacing w:after="0" w:line="240" w:lineRule="auto"/>
      </w:pPr>
      <w:r>
        <w:separator/>
      </w:r>
    </w:p>
  </w:endnote>
  <w:endnote w:type="continuationSeparator" w:id="0">
    <w:p w14:paraId="5C904001" w14:textId="77777777" w:rsidR="00E63FF3" w:rsidRDefault="00E63FF3"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3223" w14:textId="77777777" w:rsidR="00E63FF3" w:rsidRDefault="00E63FF3" w:rsidP="00DC48C8">
      <w:pPr>
        <w:spacing w:after="0" w:line="240" w:lineRule="auto"/>
      </w:pPr>
      <w:r>
        <w:separator/>
      </w:r>
    </w:p>
  </w:footnote>
  <w:footnote w:type="continuationSeparator" w:id="0">
    <w:p w14:paraId="55C722B8" w14:textId="77777777" w:rsidR="00E63FF3" w:rsidRDefault="00E63FF3"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47673"/>
    <w:rsid w:val="00091718"/>
    <w:rsid w:val="000A4C1B"/>
    <w:rsid w:val="00115346"/>
    <w:rsid w:val="001B6BA2"/>
    <w:rsid w:val="0033031C"/>
    <w:rsid w:val="003E0F5D"/>
    <w:rsid w:val="004210D8"/>
    <w:rsid w:val="0056619C"/>
    <w:rsid w:val="005716D3"/>
    <w:rsid w:val="005C2C8D"/>
    <w:rsid w:val="00787DFF"/>
    <w:rsid w:val="007B4EC0"/>
    <w:rsid w:val="008148F5"/>
    <w:rsid w:val="008C2005"/>
    <w:rsid w:val="00922BDE"/>
    <w:rsid w:val="009231F5"/>
    <w:rsid w:val="009C36AD"/>
    <w:rsid w:val="00A25ABC"/>
    <w:rsid w:val="00A577B7"/>
    <w:rsid w:val="00A60D12"/>
    <w:rsid w:val="00B00AC5"/>
    <w:rsid w:val="00B237D5"/>
    <w:rsid w:val="00B47E9F"/>
    <w:rsid w:val="00B55EBB"/>
    <w:rsid w:val="00BB25A4"/>
    <w:rsid w:val="00C42FFC"/>
    <w:rsid w:val="00C6489A"/>
    <w:rsid w:val="00D024DA"/>
    <w:rsid w:val="00D05D60"/>
    <w:rsid w:val="00DC48C8"/>
    <w:rsid w:val="00E63FF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A16E0B5B-5782-4A1E-BC9D-43A1635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C7F9-ECB5-4BCC-ADA6-D0F64337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3428</Words>
  <Characters>18856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maria palacios</cp:lastModifiedBy>
  <cp:revision>2</cp:revision>
  <dcterms:created xsi:type="dcterms:W3CDTF">2018-11-27T02:33:00Z</dcterms:created>
  <dcterms:modified xsi:type="dcterms:W3CDTF">2018-11-27T02:33:00Z</dcterms:modified>
</cp:coreProperties>
</file>