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33" w:rsidRPr="005C3433" w:rsidRDefault="005C3433" w:rsidP="00FD5451">
      <w:pPr>
        <w:spacing w:line="240" w:lineRule="auto"/>
        <w:jc w:val="center"/>
        <w:rPr>
          <w:rFonts w:ascii="Comic Sans MS" w:hAnsi="Comic Sans MS" w:cs="Tahoma"/>
          <w:b/>
          <w:color w:val="555544"/>
        </w:rPr>
      </w:pPr>
      <w:r w:rsidRPr="005C3433">
        <w:rPr>
          <w:rFonts w:ascii="Comic Sans MS" w:hAnsi="Comic Sans MS" w:cs="Tahoma"/>
          <w:b/>
          <w:color w:val="555544"/>
          <w:sz w:val="36"/>
          <w:szCs w:val="36"/>
        </w:rPr>
        <w:t>“NUEVAS PROPUESTAS PARA LA GESTIÓN EDUCATIVA”</w:t>
      </w:r>
      <w:r w:rsidRPr="005C3433">
        <w:rPr>
          <w:rFonts w:ascii="Comic Sans MS" w:hAnsi="Comic Sans MS" w:cs="Tahoma"/>
          <w:color w:val="555544"/>
        </w:rPr>
        <w:br/>
      </w:r>
    </w:p>
    <w:p w:rsidR="00FD5451" w:rsidRDefault="005C3433" w:rsidP="00FD5451">
      <w:pPr>
        <w:spacing w:line="240" w:lineRule="auto"/>
        <w:rPr>
          <w:rFonts w:ascii="Comic Sans MS" w:hAnsi="Comic Sans MS" w:cs="Tahoma"/>
          <w:b/>
          <w:color w:val="555544"/>
        </w:rPr>
      </w:pPr>
      <w:r w:rsidRPr="005C3433">
        <w:rPr>
          <w:rFonts w:ascii="Comic Sans MS" w:hAnsi="Comic Sans MS" w:cs="Tahoma"/>
          <w:b/>
          <w:color w:val="555544"/>
        </w:rPr>
        <w:t>ELECCIÓN DE OBJETIVOS Y PRIORIDADES</w:t>
      </w:r>
      <w:r w:rsidR="00FD5451">
        <w:rPr>
          <w:rFonts w:ascii="Comic Sans MS" w:hAnsi="Comic Sans MS" w:cs="Tahoma"/>
          <w:b/>
          <w:color w:val="555544"/>
        </w:rPr>
        <w:t>.</w:t>
      </w:r>
    </w:p>
    <w:p w:rsidR="00FD5451" w:rsidRDefault="005C3433" w:rsidP="00FD5451">
      <w:pPr>
        <w:spacing w:line="240" w:lineRule="auto"/>
        <w:rPr>
          <w:rFonts w:ascii="Comic Sans MS" w:hAnsi="Comic Sans MS" w:cs="Tahoma"/>
          <w:color w:val="555544"/>
        </w:rPr>
      </w:pPr>
      <w:r w:rsidRPr="005C3433">
        <w:rPr>
          <w:rFonts w:ascii="Comic Sans MS" w:hAnsi="Comic Sans MS" w:cs="Tahoma"/>
          <w:b/>
          <w:color w:val="555544"/>
        </w:rPr>
        <w:t>OBJETIVOS ESTRATEGICOS Y DE GESTIÓN.</w:t>
      </w:r>
      <w:r w:rsidR="00FD5451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t>*La traducción de objetivos estratégicos en objetivos de gestión deben basarse en el conocimiento de la realidad educacional de los países y de la región como un todo.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*Estos serían:</w:t>
      </w:r>
      <w:r w:rsidRPr="005C3433">
        <w:rPr>
          <w:rFonts w:ascii="Comic Sans MS" w:hAnsi="Comic Sans MS" w:cs="Tahoma"/>
          <w:color w:val="555544"/>
        </w:rPr>
        <w:br/>
        <w:t>Ø Equilibrio entre equidad y calidad.</w:t>
      </w:r>
      <w:r w:rsidRPr="005C3433">
        <w:rPr>
          <w:rFonts w:ascii="Comic Sans MS" w:hAnsi="Comic Sans MS" w:cs="Tahoma"/>
          <w:color w:val="555544"/>
        </w:rPr>
        <w:br/>
        <w:t>Ø Oportunidades de acceso a la escuela.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*Objetivos de aprendizaje se presentan en conocimientos, habilidades y actitudes permitiendo:</w:t>
      </w:r>
      <w:r w:rsidRPr="005C3433">
        <w:rPr>
          <w:rFonts w:ascii="Comic Sans MS" w:hAnsi="Comic Sans MS" w:cs="Tahoma"/>
          <w:color w:val="555544"/>
        </w:rPr>
        <w:br/>
        <w:t>Ø Una comprensión de ideas y valores.</w:t>
      </w:r>
      <w:r w:rsidRPr="005C3433">
        <w:rPr>
          <w:rFonts w:ascii="Comic Sans MS" w:hAnsi="Comic Sans MS" w:cs="Tahoma"/>
          <w:color w:val="555544"/>
        </w:rPr>
        <w:br/>
        <w:t>Ø Adquisición de conocimientos y habilidades sociales</w:t>
      </w:r>
      <w:r w:rsidRPr="005C3433">
        <w:rPr>
          <w:rFonts w:ascii="Comic Sans MS" w:hAnsi="Comic Sans MS" w:cs="Tahoma"/>
          <w:color w:val="555544"/>
        </w:rPr>
        <w:br/>
        <w:t>Ø Desarrollo de actitudes y habilidades</w:t>
      </w:r>
      <w:r w:rsidRPr="005C3433">
        <w:rPr>
          <w:rFonts w:ascii="Comic Sans MS" w:hAnsi="Comic Sans MS" w:cs="Tahoma"/>
          <w:color w:val="555544"/>
        </w:rPr>
        <w:br/>
        <w:t>Ø Permitiendo a la sociedad incorporar los instrumentos de la racionalidad tecnológica.</w:t>
      </w:r>
      <w:r w:rsidRPr="005C3433">
        <w:rPr>
          <w:rFonts w:ascii="Comic Sans MS" w:hAnsi="Comic Sans MS" w:cs="Tahoma"/>
          <w:color w:val="555544"/>
        </w:rPr>
        <w:br/>
        <w:t>*Dentro de la educación básica merecen mayor atención dos prioridades:</w:t>
      </w:r>
      <w:r w:rsidRPr="005C3433">
        <w:rPr>
          <w:rFonts w:ascii="Comic Sans MS" w:hAnsi="Comic Sans MS" w:cs="Tahoma"/>
          <w:color w:val="555544"/>
        </w:rPr>
        <w:br/>
        <w:t>Ø Enfocar la función de la escuela en el aprendizaje.</w:t>
      </w:r>
      <w:r w:rsidRPr="005C3433">
        <w:rPr>
          <w:rFonts w:ascii="Comic Sans MS" w:hAnsi="Comic Sans MS" w:cs="Tahoma"/>
          <w:color w:val="555544"/>
        </w:rPr>
        <w:br/>
        <w:t>Ø Vencer fracaso escolar, repetición y deserción.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*enfocar la educación en el aprendizaje implica hacer de la gestión pedagógica el eje central de la organización del proceso educativo.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*aprendizaje se refiere a la instrucción y adquisición de habilidades cognoscitivas.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t>EL MODELO DE ATENCIÓN INTEGRAL: VIABILIDAD Y PRIORIDAD.</w:t>
      </w:r>
      <w:r w:rsidR="00FD5451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t>*Viabilidad relación con la incorporación de parte de la escuela a las funciones.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*La propuesta de “atención integral” puede que no sea incompatible con el concepto de satisfacción de necesidades de aprendizaje.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*La gestión política de problemas, pretende garantizar que los modelos mínimos de calidad de la oferta están presentes en todas las escuelas.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lastRenderedPageBreak/>
        <w:t>CONTENIDOS BÁSICOS Y CONTENIDOS ESPECÍFICOS.</w:t>
      </w:r>
      <w:r w:rsidR="00FD5451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t>*Satisfacción de las necesidades básicas de aprendizaje remite a los contenidos la facilitación de habilidades cognoscitivas y sociales.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 una parte de los contenidos se refiere a las pautas sociales y culturales, otra a áreas de conocimiento formadoras de ciertos valores.</w:t>
      </w:r>
      <w:r w:rsidRPr="005C3433">
        <w:rPr>
          <w:rFonts w:ascii="Comic Sans MS" w:hAnsi="Comic Sans MS" w:cs="Tahoma"/>
          <w:color w:val="555544"/>
        </w:rPr>
        <w:br/>
        <w:t>* Enfoque “</w:t>
      </w:r>
      <w:proofErr w:type="spellStart"/>
      <w:r w:rsidRPr="005C3433">
        <w:rPr>
          <w:rFonts w:ascii="Comic Sans MS" w:hAnsi="Comic Sans MS" w:cs="Tahoma"/>
          <w:color w:val="555544"/>
        </w:rPr>
        <w:t>transdisciplinario</w:t>
      </w:r>
      <w:proofErr w:type="spellEnd"/>
      <w:r w:rsidRPr="005C3433">
        <w:rPr>
          <w:rFonts w:ascii="Comic Sans MS" w:hAnsi="Comic Sans MS" w:cs="Tahoma"/>
          <w:color w:val="555544"/>
        </w:rPr>
        <w:t>” permite incorporar las especialidades regionales al conjunto de los contenidos básicos.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*La gestión pedagógica debe buscar un equilibrio entre contendidos consagrados tradicionalmente y los ideológicos, induciendo y estimulando las iniciativas que permiten un diseño curricular más integrado.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br/>
        <w:t>LA INVESTIGACIÓN COMO COMPONENTE DE LA GESTIÓN PEDAGÓGICA.</w:t>
      </w:r>
      <w:r w:rsidR="00FD5451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t>*Brindar apoyo a las investigaciones que señalaran caminos de salida para que las proposiciones de revisiones curriculares salgan de su ensimismamiento.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*Investigaciones que produzcan conocimiento sobre cómo diseñar modelos de currículos.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*Realizar diseños curriculares sobrios en cuanto a la temática.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*Tratamiento de los conocimientos básicos y flexibilidad para incorporar nuevos desarrollos en las áreas básicas.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*El desarrollo de la capacidad de análisis, flexibilidad y creatividad son objetivos esto es una osadía y una simpleza.</w:t>
      </w:r>
    </w:p>
    <w:p w:rsidR="00FD5451" w:rsidRDefault="005C3433" w:rsidP="00FD5451">
      <w:pPr>
        <w:spacing w:line="240" w:lineRule="auto"/>
        <w:rPr>
          <w:rFonts w:ascii="Comic Sans MS" w:hAnsi="Comic Sans MS" w:cs="Tahoma"/>
          <w:b/>
          <w:color w:val="555544"/>
        </w:rPr>
      </w:pP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t>REPETICIÓN Y EVASIÓN: LAS BARRERAS DENTRO DEL SISTEMA.</w:t>
      </w:r>
      <w:r w:rsidR="00FD5451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t>*Implica pasar del plano descriptivo al plano propositito y de la acción, se constata en el fracaso escolar.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*El fracaso ocurre al inicio de la vida escolar: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 xml:space="preserve">Ø Aproximadamente uno de cada dos alumnos repite el primero básico y cada año alrededor de 30 por ciento del total de </w:t>
      </w:r>
      <w:proofErr w:type="spellStart"/>
      <w:r w:rsidRPr="005C3433">
        <w:rPr>
          <w:rFonts w:ascii="Comic Sans MS" w:hAnsi="Comic Sans MS" w:cs="Tahoma"/>
          <w:color w:val="555544"/>
        </w:rPr>
        <w:t>lso</w:t>
      </w:r>
      <w:proofErr w:type="spellEnd"/>
      <w:r w:rsidRPr="005C3433">
        <w:rPr>
          <w:rFonts w:ascii="Comic Sans MS" w:hAnsi="Comic Sans MS" w:cs="Tahoma"/>
          <w:color w:val="555544"/>
        </w:rPr>
        <w:t xml:space="preserve"> alumnos matriculados.</w:t>
      </w:r>
      <w:r w:rsidRPr="005C3433">
        <w:rPr>
          <w:rFonts w:ascii="Comic Sans MS" w:hAnsi="Comic Sans MS" w:cs="Tahoma"/>
          <w:color w:val="555544"/>
        </w:rPr>
        <w:br/>
        <w:t>Ø La matricula en educación media no sobrepasa la cifra de 25 por ciento del total de la matricula.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*Esto se deriva de una gran distorsión entre curso y edad en la distribución de la matrícula.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lastRenderedPageBreak/>
        <w:br/>
        <w:t>*Los niños y las niñas acceden a la escuela, pero no permanecen en ella ni completan sus estudios primarios obligatorios.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t>LA EXPANSIÓN CUANTITATIVA NO CALIFICADA.</w:t>
      </w:r>
      <w:r w:rsidR="00FD5451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t>*La expansión cuantitativa y de extensión de la escolaridad obligatoria, agravaron el problema, ya que se amplió el acceso a la escuela pero no se hicieron esfuerzos por responder a las cuestiones planteadas por la calidad de enseñanza.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*La expansión cuantitativa y la extensión de la escolaridad, se fueron procesando de manera desordenada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 xml:space="preserve">*Se construyo un número cada vez mayor de las escuelas, sin disminuir el déficit cuantitativo de vacantes para atender los años de escolaridad </w:t>
      </w:r>
      <w:r w:rsidR="00FD5451" w:rsidRPr="005C3433">
        <w:rPr>
          <w:rFonts w:ascii="Comic Sans MS" w:hAnsi="Comic Sans MS" w:cs="Tahoma"/>
          <w:color w:val="555544"/>
        </w:rPr>
        <w:t>iníciales</w:t>
      </w:r>
      <w:r w:rsidRPr="005C3433">
        <w:rPr>
          <w:rFonts w:ascii="Comic Sans MS" w:hAnsi="Comic Sans MS" w:cs="Tahoma"/>
          <w:color w:val="555544"/>
        </w:rPr>
        <w:t>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*Se agrego la capacidad ociosa en los cursos terminales de la enseñanza media.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*la consecuencia del fracaso escolar</w:t>
      </w:r>
      <w:r w:rsidR="00FD5451">
        <w:rPr>
          <w:rFonts w:ascii="Comic Sans MS" w:hAnsi="Comic Sans MS" w:cs="Tahoma"/>
          <w:color w:val="555544"/>
        </w:rPr>
        <w:t xml:space="preserve"> </w:t>
      </w:r>
      <w:r w:rsidRPr="005C3433">
        <w:rPr>
          <w:rFonts w:ascii="Comic Sans MS" w:hAnsi="Comic Sans MS" w:cs="Tahoma"/>
          <w:color w:val="555544"/>
        </w:rPr>
        <w:t>a es el perjuicio que provoca en al autoimagen y la autoestima de miles de niños.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br/>
        <w:t>LAS PRIORIDADES EN LA GESTIÓN PARA VENCER LA BARRERA DE LA REPETICIÓN.</w:t>
      </w:r>
      <w:r w:rsidRPr="005C3433">
        <w:rPr>
          <w:rFonts w:ascii="Comic Sans MS" w:hAnsi="Comic Sans MS" w:cs="Tahoma"/>
          <w:b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t>*No es posible terminar con la repetición utilizando sólo medidas legales, prohibiendo o reprobando.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*Las medidas legales pueden ser una señal tanto para la escuela como para la sociedad de que existen soluciones técnicas que permiten acabar con la repetición.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*El fracaso escolar exige una planificación cuidadosa de la acción, evitando soluciones inmediatas basadas en moda.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*No existen soluciones mágicas inmediatas.</w:t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  <w:t>*La improvisación y la sumatoria de medidas adoptivas a corto plazo han retar</w:t>
      </w:r>
      <w:r w:rsidR="00FD5451">
        <w:rPr>
          <w:rFonts w:ascii="Comic Sans MS" w:hAnsi="Comic Sans MS" w:cs="Tahoma"/>
          <w:color w:val="555544"/>
        </w:rPr>
        <w:t>dado la solución del problema.</w:t>
      </w:r>
      <w:r w:rsidR="00FD5451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color w:val="555544"/>
        </w:rPr>
        <w:br/>
      </w:r>
      <w:r w:rsidRPr="005C3433">
        <w:rPr>
          <w:rFonts w:ascii="Comic Sans MS" w:hAnsi="Comic Sans MS" w:cs="Tahoma"/>
          <w:b/>
          <w:color w:val="555544"/>
        </w:rPr>
        <w:t>CAMBIO AL MODELO DEL INT</w:t>
      </w:r>
      <w:r w:rsidR="00FD5451">
        <w:rPr>
          <w:rFonts w:ascii="Comic Sans MS" w:hAnsi="Comic Sans MS" w:cs="Tahoma"/>
          <w:b/>
          <w:color w:val="555544"/>
        </w:rPr>
        <w:t>ERVENCIÓN DEL ESTADO.</w:t>
      </w:r>
    </w:p>
    <w:p w:rsidR="00472DF0" w:rsidRPr="00FD5451" w:rsidRDefault="00FD5451" w:rsidP="00FD5451">
      <w:pPr>
        <w:spacing w:line="240" w:lineRule="auto"/>
        <w:rPr>
          <w:rFonts w:ascii="Comic Sans MS" w:hAnsi="Comic Sans MS" w:cs="Tahoma"/>
          <w:b/>
          <w:color w:val="555544"/>
        </w:rPr>
      </w:pPr>
      <w:r>
        <w:rPr>
          <w:rFonts w:ascii="Comic Sans MS" w:hAnsi="Comic Sans MS" w:cs="Tahoma"/>
          <w:b/>
          <w:color w:val="555544"/>
        </w:rPr>
        <w:lastRenderedPageBreak/>
        <w:br/>
      </w:r>
      <w:r w:rsidR="005C3433" w:rsidRPr="005C3433">
        <w:rPr>
          <w:rFonts w:ascii="Comic Sans MS" w:hAnsi="Comic Sans MS" w:cs="Tahoma"/>
          <w:b/>
          <w:color w:val="555544"/>
        </w:rPr>
        <w:t>FORTALECIMINETO DE LA UNIDAD ESCOLAR.</w:t>
      </w:r>
      <w:r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t>*El modelo de gestión debe tener una reorganización que incluya a todo el sistema educacional a fin de fortalecer la unidad escolar.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*Las escuelas de los países en desarrollo pueden convertirse en instituciones comprendidas con el aprendizaje de sus alumnos.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*Liberar de las trabas normativas homogéneas y establecer un nuevo tipo de relación con la burocracia centralizada de la educación.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*El fortalecimiento de la unidad escolar deberá transferirle la responsabilidad de los resultados del aprendizaje.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b/>
          <w:color w:val="555544"/>
        </w:rPr>
        <w:t>AUTONOMÍA, IDENTIDAD Y PROYECTO.</w:t>
      </w:r>
      <w:r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t xml:space="preserve">*La gestión de los sistemas de enseñanza fue eficaz en </w:t>
      </w:r>
      <w:proofErr w:type="spellStart"/>
      <w:r w:rsidR="005C3433" w:rsidRPr="005C3433">
        <w:rPr>
          <w:rFonts w:ascii="Comic Sans MS" w:hAnsi="Comic Sans MS" w:cs="Tahoma"/>
          <w:color w:val="555544"/>
        </w:rPr>
        <w:t>al</w:t>
      </w:r>
      <w:proofErr w:type="spellEnd"/>
      <w:r w:rsidR="005C3433" w:rsidRPr="005C3433">
        <w:rPr>
          <w:rFonts w:ascii="Comic Sans MS" w:hAnsi="Comic Sans MS" w:cs="Tahoma"/>
          <w:color w:val="555544"/>
        </w:rPr>
        <w:t xml:space="preserve"> medida en que la escuela pública atendía una minoría de la población.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*Los insumos recibieron el mismo tratamiento que las demás normas de organización escolar.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 Todas las escuelas recibieron los mismos insumos, sin considerar las peculiaridades a cada una de ellas.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*las investigaciones y las evaluaciones demostraron que estos insumos, no tienen relación con el mejoramiento del desempeño escolar comparado con el aprendizaje de los alumnos.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 xml:space="preserve">*El modelo de la escuela no pude ser evaluado por un modelo que mira “entradas” y “salidas” </w:t>
      </w:r>
      <w:proofErr w:type="spellStart"/>
      <w:r w:rsidR="005C3433" w:rsidRPr="005C3433">
        <w:rPr>
          <w:rFonts w:ascii="Comic Sans MS" w:hAnsi="Comic Sans MS" w:cs="Tahoma"/>
          <w:color w:val="555544"/>
        </w:rPr>
        <w:t>por que</w:t>
      </w:r>
      <w:proofErr w:type="spellEnd"/>
      <w:r w:rsidR="005C3433" w:rsidRPr="005C3433">
        <w:rPr>
          <w:rFonts w:ascii="Comic Sans MS" w:hAnsi="Comic Sans MS" w:cs="Tahoma"/>
          <w:color w:val="555544"/>
        </w:rPr>
        <w:t xml:space="preserve"> los resultados dependen de la manera decisiva de los procesos internos.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b/>
          <w:color w:val="555544"/>
        </w:rPr>
        <w:br/>
        <w:t>LA GESTON DE LA INFORMACIÓN.</w:t>
      </w:r>
      <w:r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t>*Gestión para la satisfacción de las necesidades básicas de aprendizaje: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Ø Existencia de un sistema de información confiable.</w:t>
      </w:r>
      <w:r w:rsidR="005C3433" w:rsidRPr="005C3433">
        <w:rPr>
          <w:rFonts w:ascii="Comic Sans MS" w:hAnsi="Comic Sans MS" w:cs="Tahoma"/>
          <w:color w:val="555544"/>
        </w:rPr>
        <w:br/>
        <w:t>Ø Instrumentos efectivos en la toma de decisiones.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*Agencias de cooperación internacional podrán ejercer un papel de asistencia técnica importante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lastRenderedPageBreak/>
        <w:t>*Una planificación a largo plazo, orientada a sistemas integrados y ágiles debe prever etapas de viabilidad política a mediano y corto plazo.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*La capacidad de evaluar los resultados y compensar las desigualdades es fundamental para la acción del Estado.</w:t>
      </w:r>
      <w:r w:rsidR="005C3433" w:rsidRPr="005C3433">
        <w:rPr>
          <w:rFonts w:ascii="Comic Sans MS" w:hAnsi="Comic Sans MS" w:cs="Tahoma"/>
          <w:color w:val="555544"/>
        </w:rPr>
        <w:br/>
      </w:r>
      <w:r w:rsidR="005C3433" w:rsidRPr="005C3433">
        <w:rPr>
          <w:rFonts w:ascii="Comic Sans MS" w:hAnsi="Comic Sans MS" w:cs="Tahoma"/>
          <w:color w:val="555544"/>
        </w:rPr>
        <w:br/>
        <w:t>*la flexibilidad para adoptar soluciones alternativas para satisfacer las necesidades básicas de aprendizaje debe ser señalada o conducida por el poder nacional.</w:t>
      </w:r>
    </w:p>
    <w:sectPr w:rsidR="00472DF0" w:rsidRPr="00FD5451" w:rsidSect="00472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C3433"/>
    <w:rsid w:val="000D0624"/>
    <w:rsid w:val="00414C7D"/>
    <w:rsid w:val="00432E29"/>
    <w:rsid w:val="00472DF0"/>
    <w:rsid w:val="005C3433"/>
    <w:rsid w:val="00F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2009-01-09T06:05:00Z</dcterms:created>
  <dcterms:modified xsi:type="dcterms:W3CDTF">2009-01-09T08:31:00Z</dcterms:modified>
</cp:coreProperties>
</file>