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b w:val="1"/>
          <w:position w:val="0"/>
          <w:sz w:val="24"/>
          <w:szCs w:val="24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b w:val="1"/>
          <w:position w:val="0"/>
          <w:sz w:val="24"/>
          <w:szCs w:val="24"/>
          <w:rFonts w:ascii="Arial" w:eastAsia="Arial" w:hAnsi="Arial" w:hint="default"/>
        </w:rPr>
      </w:pPr>
      <w:r>
        <w:rPr>
          <w:sz w:val="20"/>
        </w:rPr>
        <mc:AlternateContent>
          <mc:Choice Requires="wps">
            <w:drawing>
              <wp:anchor distT="45720" distB="45720" distL="114300" distR="114300" simplePos="0" relativeHeight="251624961" behindDoc="0" locked="0" layoutInCell="1" allowOverlap="1">
                <wp:simplePos x="0" y="0"/>
                <wp:positionH relativeFrom="column">
                  <wp:posOffset>1108715</wp:posOffset>
                </wp:positionH>
                <wp:positionV relativeFrom="paragraph">
                  <wp:posOffset>14610</wp:posOffset>
                </wp:positionV>
                <wp:extent cx="4639945" cy="5183505"/>
                <wp:effectExtent l="0" t="0" r="10160" b="190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0580" cy="5184140"/>
                        </a:xfrm>
                        <a:prstGeom prst="rect"/>
                        <a:solidFill>
                          <a:prstClr val="white"/>
                        </a:solidFill>
                        <a:ln w="9525" cap="flat" cmpd="sng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txbx style="" inset="7pt,4pt,7pt,4pt"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spacing w:lineRule="auto" w:line="259" w:before="0" w:after="160"/>
                              <w:ind w:right="0" w:firstLine="0"/>
                              <w:rPr>
                                <w:b w:val="1"/>
                                <w:position w:val="0"/>
                                <w:sz w:val="44"/>
                                <w:szCs w:val="44"/>
                                <w:rFonts w:ascii="Calibri" w:eastAsia="Calibri" w:hAnsi="Calibri" w:hint="default"/>
                              </w:rPr>
                            </w:pPr>
                            <w:r>
                              <w:rPr>
                                <w:b w:val="1"/>
                                <w:position w:val="0"/>
                                <w:sz w:val="44"/>
                                <w:szCs w:val="44"/>
                                <w:rFonts w:ascii="Calibri" w:eastAsia="Calibri" w:hAnsi="Calibri" w:hint="default"/>
                              </w:rPr>
                              <w:t xml:space="preserve">ESCUELA NORMAL DE EDUCACION </w:t>
                            </w:r>
                            <w:r>
                              <w:rPr>
                                <w:b w:val="1"/>
                                <w:position w:val="0"/>
                                <w:sz w:val="44"/>
                                <w:szCs w:val="44"/>
                                <w:rFonts w:ascii="Calibri" w:eastAsia="Calibri" w:hAnsi="Calibri" w:hint="default"/>
                              </w:rPr>
                              <w:t xml:space="preserve">PREESCOLAR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spacing w:lineRule="auto" w:line="240" w:before="0" w:after="0"/>
                              <w:ind w:left="60" w:right="0" w:firstLine="0"/>
                              <w:rPr>
                                <w:color w:val="000000"/>
                                <w:position w:val="0"/>
                                <w:sz w:val="36"/>
                                <w:szCs w:val="36"/>
                                <w:rFonts w:ascii="Verdana" w:eastAsia="Times New Roman" w:hAnsi="Times New Roman" w:hint="default"/>
                              </w:rPr>
                            </w:pPr>
                            <w:hyperlink r:id="rId5">
                              <w:r>
                                <w:rPr>
                                  <w:b w:val="1"/>
                                  <w:color w:val="000000"/>
                                  <w:position w:val="0"/>
                                  <w:sz w:val="36"/>
                                  <w:szCs w:val="36"/>
                                  <w:u w:val="single"/>
                                  <w:rFonts w:ascii="Verdana" w:eastAsia="Times New Roman" w:hAnsi="Times New Roman" w:hint="default"/>
                                </w:rPr>
                                <w:t>OBSERVACIÓN Y ANÁLISIS DE </w:t>
                              </w:r>
                              <w:r>
                                <w:rPr>
                                  <w:b w:val="1"/>
                                  <w:color w:val="000000"/>
                                  <w:position w:val="0"/>
                                  <w:sz w:val="36"/>
                                  <w:szCs w:val="36"/>
                                  <w:u w:val="single"/>
                                  <w:rFonts w:ascii="Verdana" w:eastAsia="Times New Roman" w:hAnsi="Times New Roman" w:hint="default"/>
                                </w:rPr>
                                <w:t>P</w:t>
                              </w:r>
                              <w:r>
                                <w:rPr>
                                  <w:b w:val="1"/>
                                  <w:color w:val="000000"/>
                                  <w:position w:val="0"/>
                                  <w:sz w:val="36"/>
                                  <w:szCs w:val="36"/>
                                  <w:u w:val="single"/>
                                  <w:rFonts w:ascii="Verdana" w:eastAsia="Times New Roman" w:hAnsi="Times New Roman" w:hint="default"/>
                                </w:rPr>
                                <w:t>RÁCTICAS Y CONTEXTOS </w:t>
                              </w:r>
                              <w:r>
                                <w:rPr>
                                  <w:b w:val="1"/>
                                  <w:color w:val="000000"/>
                                  <w:position w:val="0"/>
                                  <w:sz w:val="36"/>
                                  <w:szCs w:val="36"/>
                                  <w:u w:val="single"/>
                                  <w:rFonts w:ascii="Verdana" w:eastAsia="Times New Roman" w:hAnsi="Times New Roman" w:hint="default"/>
                                </w:rPr>
                                <w:t>E</w:t>
                              </w:r>
                              <w:r>
                                <w:rPr>
                                  <w:b w:val="1"/>
                                  <w:color w:val="000000"/>
                                  <w:position w:val="0"/>
                                  <w:sz w:val="36"/>
                                  <w:szCs w:val="36"/>
                                  <w:u w:val="single"/>
                                  <w:rFonts w:ascii="Verdana" w:eastAsia="Times New Roman" w:hAnsi="Times New Roman" w:hint="default"/>
                                </w:rPr>
                                <w:t>SCOLARES</w:t>
                              </w:r>
                            </w:hyperlink>
                            <w:r>
                              <w:rPr>
                                <w:b w:val="1"/>
                                <w:color w:val="000000"/>
                                <w:position w:val="0"/>
                                <w:sz w:val="36"/>
                                <w:szCs w:val="36"/>
                                <w:u w:val="single"/>
                                <w:rFonts w:ascii="Verdana" w:eastAsia="Times New Roman" w:hAnsi="Times New Roman" w:hint="default"/>
                              </w:rPr>
                              <w:br/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spacing w:lineRule="auto" w:line="259" w:before="0" w:after="160"/>
                              <w:ind w:right="0" w:firstLine="0"/>
                              <w:rPr>
                                <w:position w:val="0"/>
                                <w:sz w:val="32"/>
                                <w:szCs w:val="32"/>
                                <w:rFonts w:ascii="Calibri" w:eastAsia="Calibri" w:hAnsi="Calibri" w:hint="default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spacing w:lineRule="auto" w:line="259" w:before="0" w:after="160"/>
                              <w:ind w:right="0" w:firstLine="0"/>
                              <w:rPr>
                                <w:b w:val="1"/>
                                <w:color w:val="F8CBAD" w:themeColor="accent2" w:themeTint="66"/>
                                <w:position w:val="0"/>
                                <w:sz w:val="52"/>
                                <w:szCs w:val="52"/>
                                <w14:textOutline w14:w="10795" w14:cap="flat" w14:cmpd="sng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:rFonts w:ascii="Calibri" w:eastAsia="Calibri" w:hAnsi="Calibri" w:hint="default"/>
                              </w:rPr>
                            </w:pPr>
                            <w:r>
                              <w:rPr>
                                <w:b w:val="1"/>
                                <w:color w:val="F8CBAD" w:themeColor="accent2" w:themeTint="66"/>
                                <w:position w:val="0"/>
                                <w:sz w:val="52"/>
                                <w:szCs w:val="52"/>
                                <w14:textOutline w14:w="10795" w14:cap="flat" w14:cmpd="sng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:rFonts w:ascii="Calibri" w:eastAsia="Calibri" w:hAnsi="Calibri" w:hint="default"/>
                              </w:rPr>
                              <w:t xml:space="preserve">Introducción a los métodos </w:t>
                            </w:r>
                            <w:r>
                              <w:rPr>
                                <w:b w:val="1"/>
                                <w:color w:val="F8CBAD" w:themeColor="accent2" w:themeTint="66"/>
                                <w:position w:val="0"/>
                                <w:sz w:val="52"/>
                                <w:szCs w:val="52"/>
                                <w14:textOutline w14:w="10795" w14:cap="flat" w14:cmpd="sng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:rFonts w:ascii="Calibri" w:eastAsia="Calibri" w:hAnsi="Calibri" w:hint="default"/>
                              </w:rPr>
                              <w:t xml:space="preserve">cualitativos de investigación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spacing w:lineRule="auto" w:line="259" w:before="0" w:after="160"/>
                              <w:ind w:right="0" w:firstLine="0"/>
                              <w:rPr>
                                <w:color w:val="5B9BD5" w:themeColor="accent1"/>
                                <w:position w:val="0"/>
                                <w:sz w:val="44"/>
                                <w:szCs w:val="44"/>
                                <w14:textOutline w14:w="0" w14:cap="flat">
                                  <w14:noFill/>
                                </w14:textOutline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8432"/>
                                  </w14:srgbClr>
                                </w14:shadow>
                                <w:rFonts w:ascii="Calibri" w:eastAsia="Calibri" w:hAnsi="Calibri" w:hint="default"/>
                              </w:rPr>
                            </w:pPr>
                            <w:r>
                              <w:rPr>
                                <w:color w:val="5B9BD5" w:themeColor="accent1"/>
                                <w:position w:val="0"/>
                                <w:sz w:val="44"/>
                                <w:szCs w:val="44"/>
                                <w14:textOutline w14:w="0" w14:cap="flat">
                                  <w14:noFill/>
                                </w14:textOutline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8432"/>
                                  </w14:srgbClr>
                                </w14:shadow>
                                <w:rFonts w:ascii="Calibri" w:eastAsia="Calibri" w:hAnsi="Calibri" w:hint="default"/>
                              </w:rPr>
                              <w:t xml:space="preserve">VANESSA ELIZABETH SANCHEZ </w:t>
                            </w:r>
                            <w:r>
                              <w:rPr>
                                <w:color w:val="5B9BD5" w:themeColor="accent1"/>
                                <w:position w:val="0"/>
                                <w:sz w:val="44"/>
                                <w:szCs w:val="44"/>
                                <w14:textOutline w14:w="0" w14:cap="flat">
                                  <w14:noFill/>
                                </w14:textOutline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8432"/>
                                  </w14:srgbClr>
                                </w14:shadow>
                                <w:rFonts w:ascii="Calibri" w:eastAsia="Calibri" w:hAnsi="Calibri" w:hint="default"/>
                              </w:rPr>
                              <w:t xml:space="preserve">GALLEGOS NL.17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spacing w:lineRule="auto" w:line="259" w:before="0" w:after="160"/>
                              <w:ind w:right="0" w:firstLine="0"/>
                              <w:rPr>
                                <w:color w:val="5B9BD5" w:themeColor="accent1"/>
                                <w:position w:val="0"/>
                                <w:sz w:val="44"/>
                                <w:szCs w:val="44"/>
                                <w14:textOutline w14:w="0" w14:cap="flat">
                                  <w14:noFill/>
                                </w14:textOutline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8432"/>
                                  </w14:srgbClr>
                                </w14:shadow>
                                <w:rFonts w:ascii="Calibri" w:eastAsia="Calibri" w:hAnsi="Calibri" w:hint="default"/>
                              </w:rPr>
                            </w:pPr>
                            <w:r>
                              <w:rPr>
                                <w:color w:val="5B9BD5" w:themeColor="accent1"/>
                                <w:position w:val="0"/>
                                <w:sz w:val="44"/>
                                <w:szCs w:val="44"/>
                                <w14:textOutline w14:w="0" w14:cap="flat">
                                  <w14:noFill/>
                                </w14:textOutline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8432"/>
                                  </w14:srgbClr>
                                </w14:shadow>
                                <w:rFonts w:ascii="Calibri" w:eastAsia="Calibri" w:hAnsi="Calibri" w:hint="default"/>
                              </w:rPr>
                              <w:t xml:space="preserve">SOFIA MALI SILLER VALEZ NL.18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spacing w:lineRule="auto" w:line="259" w:before="0" w:after="160"/>
                              <w:ind w:right="0" w:firstLine="0"/>
                              <w:rPr>
                                <w:b w:val="1"/>
                                <w:color w:val="FFC000"/>
                                <w:position w:val="0"/>
                                <w:sz w:val="44"/>
                                <w:szCs w:val="44"/>
                                <w14:textOutline w14:w="0" w14:cap="flat">
                                  <w14:noFill/>
                                </w14:textOutline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8432"/>
                                  </w14:srgbClr>
                                </w14:shadow>
                                <w:rFonts w:ascii="Calibri" w:eastAsia="Calibri" w:hAnsi="Calibri" w:hint="default"/>
                              </w:rPr>
                            </w:pPr>
                            <w:r>
                              <w:rPr>
                                <w:b w:val="1"/>
                                <w:color w:val="FFC000"/>
                                <w:position w:val="0"/>
                                <w:sz w:val="44"/>
                                <w:szCs w:val="44"/>
                                <w14:textOutline w14:w="0" w14:cap="flat">
                                  <w14:noFill/>
                                </w14:textOutline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8432"/>
                                  </w14:srgbClr>
                                </w14:shadow>
                                <w:rFonts w:ascii="Calibri" w:eastAsia="Calibri" w:hAnsi="Calibri" w:hint="default"/>
                              </w:rPr>
                              <w:t xml:space="preserve">1º 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9" type="#_x0000_t1" style="position:absolute;left:0;margin-left:87pt;mso-position-horizontal:absolute;mso-position-horizontal-relative:text;margin-top:1pt;mso-position-vertical:absolute;mso-position-vertical-relative:text;width:365.3pt;height:408.1pt;z-index:251624961" strokecolor="white" o:allowoverlap="1" strokeweight="0.75pt" fillcolor="white" filled="t">
                <v:stroke joinstyle="miter"/>
                <w10:wrap type="square" side="both"/>
                <v:textbox style="" inset="7pt,4pt,7pt,4pt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spacing w:lineRule="auto" w:line="259" w:before="0" w:after="160"/>
                        <w:ind w:right="0" w:firstLine="0"/>
                        <w:rPr>
                          <w:b w:val="1"/>
                          <w:position w:val="0"/>
                          <w:sz w:val="44"/>
                          <w:szCs w:val="44"/>
                          <w:rFonts w:ascii="Calibri" w:eastAsia="Calibri" w:hAnsi="Calibri" w:hint="default"/>
                        </w:rPr>
                      </w:pPr>
                      <w:r>
                        <w:rPr>
                          <w:b w:val="1"/>
                          <w:position w:val="0"/>
                          <w:sz w:val="44"/>
                          <w:szCs w:val="44"/>
                          <w:rFonts w:ascii="Calibri" w:eastAsia="Calibri" w:hAnsi="Calibri" w:hint="default"/>
                        </w:rPr>
                        <w:t xml:space="preserve">ESCUELA NORMAL DE EDUCACION </w:t>
                      </w:r>
                      <w:r>
                        <w:rPr>
                          <w:b w:val="1"/>
                          <w:position w:val="0"/>
                          <w:sz w:val="44"/>
                          <w:szCs w:val="44"/>
                          <w:rFonts w:ascii="Calibri" w:eastAsia="Calibri" w:hAnsi="Calibri" w:hint="default"/>
                        </w:rPr>
                        <w:t xml:space="preserve">PREESCOLAR 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spacing w:lineRule="auto" w:line="240" w:before="0" w:after="0"/>
                        <w:ind w:left="60" w:right="0" w:firstLine="0"/>
                        <w:rPr>
                          <w:color w:val="000000"/>
                          <w:position w:val="0"/>
                          <w:sz w:val="36"/>
                          <w:szCs w:val="36"/>
                          <w:rFonts w:ascii="Verdana" w:eastAsia="Times New Roman" w:hAnsi="Times New Roman" w:hint="default"/>
                        </w:rPr>
                      </w:pPr>
                      <w:hyperlink r:id="rId6">
                        <w:r>
                          <w:rPr>
                            <w:b w:val="1"/>
                            <w:color w:val="000000"/>
                            <w:position w:val="0"/>
                            <w:sz w:val="36"/>
                            <w:szCs w:val="36"/>
                            <w:u w:val="single"/>
                            <w:rFonts w:ascii="Verdana" w:eastAsia="Times New Roman" w:hAnsi="Times New Roman" w:hint="default"/>
                          </w:rPr>
                          <w:t>OBSERVACIÓN Y ANÁLISIS DE </w:t>
                        </w:r>
                        <w:r>
                          <w:rPr>
                            <w:b w:val="1"/>
                            <w:color w:val="000000"/>
                            <w:position w:val="0"/>
                            <w:sz w:val="36"/>
                            <w:szCs w:val="36"/>
                            <w:u w:val="single"/>
                            <w:rFonts w:ascii="Verdana" w:eastAsia="Times New Roman" w:hAnsi="Times New Roman" w:hint="default"/>
                          </w:rPr>
                          <w:t>P</w:t>
                        </w:r>
                        <w:r>
                          <w:rPr>
                            <w:b w:val="1"/>
                            <w:color w:val="000000"/>
                            <w:position w:val="0"/>
                            <w:sz w:val="36"/>
                            <w:szCs w:val="36"/>
                            <w:u w:val="single"/>
                            <w:rFonts w:ascii="Verdana" w:eastAsia="Times New Roman" w:hAnsi="Times New Roman" w:hint="default"/>
                          </w:rPr>
                          <w:t>RÁCTICAS Y CONTEXTOS </w:t>
                        </w:r>
                        <w:r>
                          <w:rPr>
                            <w:b w:val="1"/>
                            <w:color w:val="000000"/>
                            <w:position w:val="0"/>
                            <w:sz w:val="36"/>
                            <w:szCs w:val="36"/>
                            <w:u w:val="single"/>
                            <w:rFonts w:ascii="Verdana" w:eastAsia="Times New Roman" w:hAnsi="Times New Roman" w:hint="default"/>
                          </w:rPr>
                          <w:t>E</w:t>
                        </w:r>
                        <w:r>
                          <w:rPr>
                            <w:b w:val="1"/>
                            <w:color w:val="000000"/>
                            <w:position w:val="0"/>
                            <w:sz w:val="36"/>
                            <w:szCs w:val="36"/>
                            <w:u w:val="single"/>
                            <w:rFonts w:ascii="Verdana" w:eastAsia="Times New Roman" w:hAnsi="Times New Roman" w:hint="default"/>
                          </w:rPr>
                          <w:t>SCOLARES</w:t>
                        </w:r>
                      </w:hyperlink>
                      <w:r>
                        <w:rPr>
                          <w:b w:val="1"/>
                          <w:color w:val="000000"/>
                          <w:position w:val="0"/>
                          <w:sz w:val="36"/>
                          <w:szCs w:val="36"/>
                          <w:u w:val="single"/>
                          <w:rFonts w:ascii="Verdana" w:eastAsia="Times New Roman" w:hAnsi="Times New Roman" w:hint="default"/>
                        </w:rPr>
                        <w:br/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spacing w:lineRule="auto" w:line="259" w:before="0" w:after="160"/>
                        <w:ind w:right="0" w:firstLine="0"/>
                        <w:rPr>
                          <w:position w:val="0"/>
                          <w:sz w:val="32"/>
                          <w:szCs w:val="32"/>
                          <w:rFonts w:ascii="Calibri" w:eastAsia="Calibri" w:hAnsi="Calibri" w:hint="default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spacing w:lineRule="auto" w:line="259" w:before="0" w:after="160"/>
                        <w:ind w:right="0" w:firstLine="0"/>
                        <w:rPr>
                          <w:b w:val="1"/>
                          <w:color w:val="F8CBAD" w:themeColor="accent2" w:themeTint="66"/>
                          <w:position w:val="0"/>
                          <w:sz w:val="52"/>
                          <w:szCs w:val="52"/>
                          <w14:textOutline w14:w="10795" w14:cap="flat" w14:cmpd="sng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:rFonts w:ascii="Calibri" w:eastAsia="Calibri" w:hAnsi="Calibri" w:hint="default"/>
                        </w:rPr>
                      </w:pPr>
                      <w:r>
                        <w:rPr>
                          <w:b w:val="1"/>
                          <w:color w:val="F8CBAD" w:themeColor="accent2" w:themeTint="66"/>
                          <w:position w:val="0"/>
                          <w:sz w:val="52"/>
                          <w:szCs w:val="52"/>
                          <w14:textOutline w14:w="10795" w14:cap="flat" w14:cmpd="sng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:rFonts w:ascii="Calibri" w:eastAsia="Calibri" w:hAnsi="Calibri" w:hint="default"/>
                        </w:rPr>
                        <w:t xml:space="preserve">Introducción a los métodos </w:t>
                      </w:r>
                      <w:r>
                        <w:rPr>
                          <w:b w:val="1"/>
                          <w:color w:val="F8CBAD" w:themeColor="accent2" w:themeTint="66"/>
                          <w:position w:val="0"/>
                          <w:sz w:val="52"/>
                          <w:szCs w:val="52"/>
                          <w14:textOutline w14:w="10795" w14:cap="flat" w14:cmpd="sng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:rFonts w:ascii="Calibri" w:eastAsia="Calibri" w:hAnsi="Calibri" w:hint="default"/>
                        </w:rPr>
                        <w:t xml:space="preserve">cualitativos de investigación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spacing w:lineRule="auto" w:line="259" w:before="0" w:after="160"/>
                        <w:ind w:right="0" w:firstLine="0"/>
                        <w:rPr>
                          <w:color w:val="5B9BD5" w:themeColor="accent1"/>
                          <w:position w:val="0"/>
                          <w:sz w:val="44"/>
                          <w:szCs w:val="44"/>
                          <w14:textOutline w14:w="0" w14:cap="flat">
                            <w14:noFill/>
                          </w14:textOutline>
                          <w14:shadow w14:blurRad="38100" w14:dist="25400" w14:dir="5400000" w14:sx="100000" w14:sy="100000" w14:kx="0" w14:ky="0" w14:algn="ctr">
                            <w14:srgbClr w14:val="6E747A">
                              <w14:alpha w14:val="58432"/>
                            </w14:srgbClr>
                          </w14:shadow>
                          <w:rFonts w:ascii="Calibri" w:eastAsia="Calibri" w:hAnsi="Calibri" w:hint="default"/>
                        </w:rPr>
                      </w:pPr>
                      <w:r>
                        <w:rPr>
                          <w:color w:val="5B9BD5" w:themeColor="accent1"/>
                          <w:position w:val="0"/>
                          <w:sz w:val="44"/>
                          <w:szCs w:val="44"/>
                          <w14:textOutline w14:w="0" w14:cap="flat">
                            <w14:noFill/>
                          </w14:textOutline>
                          <w14:shadow w14:blurRad="38100" w14:dist="25400" w14:dir="5400000" w14:sx="100000" w14:sy="100000" w14:kx="0" w14:ky="0" w14:algn="ctr">
                            <w14:srgbClr w14:val="6E747A">
                              <w14:alpha w14:val="58432"/>
                            </w14:srgbClr>
                          </w14:shadow>
                          <w:rFonts w:ascii="Calibri" w:eastAsia="Calibri" w:hAnsi="Calibri" w:hint="default"/>
                        </w:rPr>
                        <w:t xml:space="preserve">VANESSA ELIZABETH SANCHEZ </w:t>
                      </w:r>
                      <w:r>
                        <w:rPr>
                          <w:color w:val="5B9BD5" w:themeColor="accent1"/>
                          <w:position w:val="0"/>
                          <w:sz w:val="44"/>
                          <w:szCs w:val="44"/>
                          <w14:textOutline w14:w="0" w14:cap="flat">
                            <w14:noFill/>
                          </w14:textOutline>
                          <w14:shadow w14:blurRad="38100" w14:dist="25400" w14:dir="5400000" w14:sx="100000" w14:sy="100000" w14:kx="0" w14:ky="0" w14:algn="ctr">
                            <w14:srgbClr w14:val="6E747A">
                              <w14:alpha w14:val="58432"/>
                            </w14:srgbClr>
                          </w14:shadow>
                          <w:rFonts w:ascii="Calibri" w:eastAsia="Calibri" w:hAnsi="Calibri" w:hint="default"/>
                        </w:rPr>
                        <w:t xml:space="preserve">GALLEGOS NL.17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spacing w:lineRule="auto" w:line="259" w:before="0" w:after="160"/>
                        <w:ind w:right="0" w:firstLine="0"/>
                        <w:rPr>
                          <w:color w:val="5B9BD5" w:themeColor="accent1"/>
                          <w:position w:val="0"/>
                          <w:sz w:val="44"/>
                          <w:szCs w:val="44"/>
                          <w14:textOutline w14:w="0" w14:cap="flat">
                            <w14:noFill/>
                          </w14:textOutline>
                          <w14:shadow w14:blurRad="38100" w14:dist="25400" w14:dir="5400000" w14:sx="100000" w14:sy="100000" w14:kx="0" w14:ky="0" w14:algn="ctr">
                            <w14:srgbClr w14:val="6E747A">
                              <w14:alpha w14:val="58432"/>
                            </w14:srgbClr>
                          </w14:shadow>
                          <w:rFonts w:ascii="Calibri" w:eastAsia="Calibri" w:hAnsi="Calibri" w:hint="default"/>
                        </w:rPr>
                      </w:pPr>
                      <w:r>
                        <w:rPr>
                          <w:color w:val="5B9BD5" w:themeColor="accent1"/>
                          <w:position w:val="0"/>
                          <w:sz w:val="44"/>
                          <w:szCs w:val="44"/>
                          <w14:textOutline w14:w="0" w14:cap="flat">
                            <w14:noFill/>
                          </w14:textOutline>
                          <w14:shadow w14:blurRad="38100" w14:dist="25400" w14:dir="5400000" w14:sx="100000" w14:sy="100000" w14:kx="0" w14:ky="0" w14:algn="ctr">
                            <w14:srgbClr w14:val="6E747A">
                              <w14:alpha w14:val="58432"/>
                            </w14:srgbClr>
                          </w14:shadow>
                          <w:rFonts w:ascii="Calibri" w:eastAsia="Calibri" w:hAnsi="Calibri" w:hint="default"/>
                        </w:rPr>
                        <w:t xml:space="preserve">SOFIA MALI SILLER VALEZ NL.18 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spacing w:lineRule="auto" w:line="259" w:before="0" w:after="160"/>
                        <w:ind w:right="0" w:firstLine="0"/>
                        <w:rPr>
                          <w:b w:val="1"/>
                          <w:color w:val="FFC000"/>
                          <w:position w:val="0"/>
                          <w:sz w:val="44"/>
                          <w:szCs w:val="44"/>
                          <w14:textOutline w14:w="0" w14:cap="flat">
                            <w14:noFill/>
                          </w14:textOutline>
                          <w14:shadow w14:blurRad="38100" w14:dist="25400" w14:dir="5400000" w14:sx="100000" w14:sy="100000" w14:kx="0" w14:ky="0" w14:algn="ctr">
                            <w14:srgbClr w14:val="6E747A">
                              <w14:alpha w14:val="58432"/>
                            </w14:srgbClr>
                          </w14:shadow>
                          <w:rFonts w:ascii="Calibri" w:eastAsia="Calibri" w:hAnsi="Calibri" w:hint="default"/>
                        </w:rPr>
                      </w:pPr>
                      <w:r>
                        <w:rPr>
                          <w:b w:val="1"/>
                          <w:color w:val="FFC000"/>
                          <w:position w:val="0"/>
                          <w:sz w:val="44"/>
                          <w:szCs w:val="44"/>
                          <w14:textOutline w14:w="0" w14:cap="flat">
                            <w14:noFill/>
                          </w14:textOutline>
                          <w14:shadow w14:blurRad="38100" w14:dist="25400" w14:dir="5400000" w14:sx="100000" w14:sy="100000" w14:kx="0" w14:ky="0" w14:algn="ctr">
                            <w14:srgbClr w14:val="6E747A">
                              <w14:alpha w14:val="58432"/>
                            </w14:srgbClr>
                          </w14:shadow>
                          <w:rFonts w:ascii="Calibri" w:eastAsia="Calibri" w:hAnsi="Calibri" w:hint="default"/>
                        </w:rPr>
                        <w:t xml:space="preserve">1º 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w:drawing>
          <wp:inline distT="0" distB="0" distL="0" distR="0">
            <wp:extent cx="927100" cy="1136650"/>
            <wp:effectExtent l="0" t="0" r="0" b="8255"/>
            <wp:docPr id="10" name="Imagen 1" descr="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1137285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b w:val="1"/>
          <w:position w:val="0"/>
          <w:sz w:val="24"/>
          <w:szCs w:val="24"/>
          <w:rFonts w:ascii="Arial" w:eastAsia="Arial" w:hAnsi="Arial" w:hint="default"/>
        </w:rPr>
      </w:pPr>
      <w:r>
        <w:rPr>
          <w:b w:val="1"/>
          <w:position w:val="0"/>
          <w:sz w:val="24"/>
          <w:szCs w:val="24"/>
          <w:rFonts w:ascii="Arial" w:eastAsia="Arial" w:hAnsi="Arial" w:hint="default"/>
        </w:rPr>
        <w:t xml:space="preserve">CAPITULO 2: LA OBSERVACION PARTICIPANTE, PREPARACION DEL </w:t>
      </w:r>
      <w:r>
        <w:rPr>
          <w:b w:val="1"/>
          <w:position w:val="0"/>
          <w:sz w:val="24"/>
          <w:szCs w:val="24"/>
          <w:rFonts w:ascii="Arial" w:eastAsia="Arial" w:hAnsi="Arial" w:hint="default"/>
        </w:rPr>
        <w:t xml:space="preserve">TRABAJO DE CAMPO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La observación participante, es la herramienta principal de la metodología </w:t>
      </w:r>
      <w:r>
        <w:rPr>
          <w:position w:val="0"/>
          <w:sz w:val="24"/>
          <w:szCs w:val="24"/>
          <w:rFonts w:ascii="Arial" w:eastAsia="Arial" w:hAnsi="Arial" w:hint="default"/>
        </w:rPr>
        <w:t>cualitativa.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La expresión observación participante es empleada para referirse a la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investigación que involucra la interacción social, entre los informantes y el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investigador y durante la cual se recogen datos de modo sistemático y no intrusivo.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El  diseño de la investigación en la observación participante permanece flexible,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tanto antes como durante el proceso.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Los observadores participantes tienen una metodología y algunos Intereses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generales,  los rasgos específicos de su enfoque mejoran a medida que operan.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La mayor parte de los observadores participantes trata de entrar en el campo sin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hipótesis o preconceptos específicos.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La mayor parte de los investigadores tienen en mente algunos interrogantes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generales cuando entran en el campo.  La mayoría que esos interrogantes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pertenezcan a una de dos amplias categorías: son sustanciales o teóricos.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 Entre los primeros se cuentan interrogantes relacionados con problemas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específicos en un particular tipo de escenario.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Ambas categorías están interrelacionadas. Un buen estudio cualitativo combina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una comprensión en profundidad del escenario particular estudiado con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intelecciones teóricas generales que trascienden ese tipo particular de escenario.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Después de entrar en el campo, los investigadores cualitativos con frecuencia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descubren que sus áreas de interés no se ajustan a sus escenarios.                           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En los estudios cuantitativos tradicionales, los investigadores seleccionan los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casos sobre la base de las probabilidades estadísticas. El muestreo al azar 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estratificado y otras técnicas probabilísticas tienen la finalidad de asegurar la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representatividad de los casos estudiados respecto de una población mayor en la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cual está interesado el investigador.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El escenario ideal para la investigación es aquel en el cual el observador obtiene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fácil acceso, establece una buena relación inmediata con los informantes y recoge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datos directamente relacionados con los intereses investigativos.                               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Entrar en un escenario por lo general es muy difícil. Se necesitan diligencia y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paciencia.                          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El investigador debe negociar el acceso, gradualmente obtiene confianza y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lentamente recoge datos que· sólo a veces se adecuan a sus intereses.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b w:val="1"/>
          <w:position w:val="0"/>
          <w:sz w:val="24"/>
          <w:szCs w:val="24"/>
          <w:rFonts w:ascii="Arial" w:eastAsia="Arial" w:hAnsi="Arial" w:hint="default"/>
        </w:rPr>
      </w:pPr>
      <w:r>
        <w:rPr>
          <w:b w:val="1"/>
          <w:position w:val="0"/>
          <w:sz w:val="24"/>
          <w:szCs w:val="24"/>
          <w:rFonts w:ascii="Arial" w:eastAsia="Arial" w:hAnsi="Arial" w:hint="default"/>
        </w:rPr>
        <w:t xml:space="preserve">RECOLECCION DE DATOS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Durante el proceso de obtener el ingreso en un escenario se deben llevar notas de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campo detalladas. Como en el caso de la investigación ulterior, las notas deben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registrarse después de encuentros cara a cara y conversaciones telefónicas. Los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datos recogidos en esta etapa pueden ser extremadamente valiosos más adelante.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El trabajo de campo incluye tres actividades principales. La primera se relaciona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con una interacción social no ofensiva: lograr que los informantes se sientan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cómodos y ganar su aceptación.   El segundo aspecto trata sobre los modos de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obtener datos: estrategias y tácticas de campo. El aspecto final involucra el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registro de datos en forma de notas de campo escritas.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b w:val="1"/>
          <w:position w:val="0"/>
          <w:sz w:val="24"/>
          <w:szCs w:val="24"/>
          <w:rFonts w:ascii="Arial" w:eastAsia="Arial" w:hAnsi="Arial" w:hint="default"/>
        </w:rPr>
      </w:pPr>
      <w:r>
        <w:rPr>
          <w:b w:val="1"/>
          <w:position w:val="0"/>
          <w:sz w:val="24"/>
          <w:szCs w:val="24"/>
          <w:rFonts w:ascii="Arial" w:eastAsia="Arial" w:hAnsi="Arial" w:hint="default"/>
        </w:rPr>
        <w:t xml:space="preserve">LA ENTRADA EN EL CAMPO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Muchas de las técnicas empleadas en la observación participante corresponden 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reglas cotidianas sobre lo Interacción social no ofensiva; las aptitudes en esa área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son una necesidad.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Los primeros días en el campo constituyen un período en el cual los observadores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tratan de que la gente se sienta cómoda, disipan cualquier idea en cuanto a que el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enfoque de la investigación será intrusivo, establecen sus identidades como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personas inobjetables y aprenden a actuar adecuadamente en el escenario.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Durante el periodo Inicial, la recolección de datos es secundaria para llegar 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conocer el escenario y las personas. Las preguntas tienen la finalidad de ayudar 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romper el hielo, algunas personas pueden preguntarle al investigador qué quiere </w:t>
      </w:r>
      <w:r>
        <w:rPr>
          <w:position w:val="0"/>
          <w:sz w:val="24"/>
          <w:szCs w:val="24"/>
          <w:rFonts w:ascii="Arial" w:eastAsia="Arial" w:hAnsi="Arial" w:hint="default"/>
        </w:rPr>
        <w:t>saber.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Cuando entran por primera vez en el campo, los observadores se encuentran con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frecuencia abrumados por la cantidad de información que reciben. Por esta razón,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se debe tratar de limitar el tiempo que se pasa en el escenario durante cada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observación. Una hora es por lo general suficiente. A medida que uno se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familiariza con un escenario y gana en pericia para la observación, se puede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aumentar el lapso que se pasa en· el escenario.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Los investigadores deben ser cuidadosos en cuanto a no revelar ciertas cosas que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los informantes han dicho, aunque no lo hayan hecho en privado. Desplegar un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conocimiento excesivo hace al observador amenazante y potencialmente peligroso.                                                                                                                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Los informantes pueden también ser renuentes a expresar lo que sienten si el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observador actúa como demasiado enterado. Per· mita que la gente hable con  </w:t>
      </w:r>
      <w:r>
        <w:rPr>
          <w:position w:val="0"/>
          <w:sz w:val="24"/>
          <w:szCs w:val="24"/>
          <w:rFonts w:ascii="Arial" w:eastAsia="Arial" w:hAnsi="Arial" w:hint="default"/>
        </w:rPr>
        <w:t>libertad.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b w:val="1"/>
          <w:position w:val="0"/>
          <w:sz w:val="24"/>
          <w:szCs w:val="24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b w:val="1"/>
          <w:position w:val="0"/>
          <w:sz w:val="28"/>
          <w:szCs w:val="28"/>
          <w:rFonts w:ascii="Arial" w:eastAsia="Arial" w:hAnsi="Arial" w:hint="default"/>
        </w:rPr>
      </w:pPr>
      <w:r>
        <w:rPr>
          <w:b w:val="1"/>
          <w:position w:val="0"/>
          <w:sz w:val="28"/>
          <w:szCs w:val="28"/>
          <w:rFonts w:ascii="Arial" w:eastAsia="Arial" w:hAnsi="Arial" w:hint="default"/>
        </w:rPr>
        <w:t xml:space="preserve">Participación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El compromiso activo en las actividades de las personas es esencial para lograr la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aceptación, hay que participar por todos los medios, pero sabiendo dónde trazar la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línea divisora.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También  se debe evitar actuar y hablar de modos que no se adecuan a la propia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personalidad.                                                                                                                 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Debe evitarse cualquier participación que obstaculice la capacidad de Investigador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para recoger datos.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b w:val="1"/>
          <w:position w:val="0"/>
          <w:sz w:val="24"/>
          <w:szCs w:val="24"/>
          <w:rFonts w:ascii="Arial" w:eastAsia="Arial" w:hAnsi="Arial" w:hint="default"/>
        </w:rPr>
      </w:pPr>
      <w:r>
        <w:rPr>
          <w:b w:val="1"/>
          <w:position w:val="0"/>
          <w:sz w:val="24"/>
          <w:szCs w:val="24"/>
          <w:rFonts w:ascii="Arial" w:eastAsia="Arial" w:hAnsi="Arial" w:hint="default"/>
        </w:rPr>
        <w:t xml:space="preserve">INFORMANTES CLAVES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b w:val="1"/>
          <w:position w:val="0"/>
          <w:sz w:val="24"/>
          <w:szCs w:val="24"/>
          <w:rFonts w:ascii="Arial" w:eastAsia="Arial" w:hAnsi="Arial" w:hint="default"/>
        </w:rPr>
        <w:t>L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os observadores participantes desarrollan relaciones estrechas y abiertas con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todos los informantes. Pero, la confianza aparece lentamente en la investigación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de campo.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Los observadores participantes también esperan de los informantes claves que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ellos les proporcionen una comprensión profunda del escenario. Puesto que la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investigación de campo está limitada en tiempo y alcances, los informantes claves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pueden narrar la historia del escenario y completar los conocimientos del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investigador sobre lo que ocurre cuando él no se encuentra presente.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b w:val="1"/>
          <w:position w:val="0"/>
          <w:sz w:val="24"/>
          <w:szCs w:val="24"/>
          <w:rFonts w:ascii="Arial" w:eastAsia="Arial" w:hAnsi="Arial" w:hint="default"/>
        </w:rPr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b w:val="1"/>
          <w:position w:val="0"/>
          <w:sz w:val="24"/>
          <w:szCs w:val="24"/>
          <w:rFonts w:ascii="Arial" w:eastAsia="Arial" w:hAnsi="Arial" w:hint="default"/>
        </w:rPr>
      </w:pPr>
      <w:r>
        <w:rPr>
          <w:b w:val="1"/>
          <w:position w:val="0"/>
          <w:sz w:val="24"/>
          <w:szCs w:val="24"/>
          <w:rFonts w:ascii="Arial" w:eastAsia="Arial" w:hAnsi="Arial" w:hint="default"/>
        </w:rPr>
        <w:t xml:space="preserve">FORMULANDO PREGUNTAS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Aunque los observadores participantes entran en el campo con interrogantes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amplios en mente, antes de seguir líneas especificas de indagación permiten que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los temas emerjan en el escenario. Inicialmente, los investigadores de campo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formulan preguntos como para permitir que la gente hable sobre lo que tiene en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mente y lo que la preocupa sin forzarla a responder a los Intereses,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preocupaciones o preconceptos de los observadores.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Saber qué es lo que no debe preguntarse puede ser tan lmportante como saber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que se puede preguntar. Sanders (1980)' señala que cuando uno está estudiando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a personas comprometidas en actividades cuestionables desde el punto de vista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legal, las preguntas inadecuadas pueden ser razonablemente interpretadas como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signo de que el investigador es un detator. Van Maanen ( 1982) afirma que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cualquier forma de interrogatorio sostenido implica evaluación. En el estudio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institucional, el observador sólo formuló preguntas directas sobre el maltrato a un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empleado (y esto después de unas cuantas cervezas), aunque ése era uno de los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focos principales de la investigación.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EL APRENDIZAJE DEL LENGUAJE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Un aspecto importante de la observación participante consiste en aprender el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modo en que la gente utiliza el lenguaje (Becker y Geer, 1957; Spradley, 1980).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Los investigadores de campo deben partir de la premisa de que las palabras y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símbolos utilizados en sus propios mundo,, pueden tener significados diferentes en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los mundos de sus informantes. Deben también sintonizar y explorar los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significados de palabras con las cuales no están familiarizados. El vocabulario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empleado en un escenario por lo general proporciona indicios importantes sobre el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modo en que las personas definen situaciones y clasifican su mundo, de modo que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sugiere lineas de indagación e interrogación.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b w:val="1"/>
          <w:position w:val="0"/>
          <w:sz w:val="24"/>
          <w:szCs w:val="24"/>
          <w:rFonts w:ascii="Arial" w:eastAsia="Arial" w:hAnsi="Arial" w:hint="default"/>
        </w:rPr>
      </w:pPr>
      <w:r>
        <w:rPr>
          <w:b w:val="1"/>
          <w:position w:val="0"/>
          <w:sz w:val="24"/>
          <w:szCs w:val="24"/>
          <w:rFonts w:ascii="Arial" w:eastAsia="Arial" w:hAnsi="Arial" w:hint="default"/>
        </w:rPr>
        <w:t xml:space="preserve">Capítulo 4: LA ENTREVISTA EN PROFUNDIDAD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b w:val="1"/>
          <w:position w:val="0"/>
          <w:sz w:val="24"/>
          <w:szCs w:val="24"/>
          <w:rFonts w:ascii="Arial" w:eastAsia="Arial" w:hAnsi="Arial" w:hint="default"/>
        </w:rPr>
      </w:pPr>
      <w:r>
        <w:rPr>
          <w:b w:val="1"/>
          <w:position w:val="0"/>
          <w:sz w:val="24"/>
          <w:szCs w:val="24"/>
          <w:rFonts w:ascii="Arial" w:eastAsia="Arial" w:hAnsi="Arial" w:hint="default"/>
        </w:rPr>
        <w:t xml:space="preserve">TiPOS DE ENTREVISTAS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Tal como lo seftalan Benney y Hughes (1970), la entrevista es "la herramienta de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excavar" favorita de los sociólogos. Para adquirir conocimientos sobre la vida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social, los científicos sociales reposan en gran medida sobre relatos verbales. 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Cuando oyen la palabra "entrevista", la mayor parte de las personas piensan en un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instrumento de investigación estructurado como las encuestas de actitud o de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opinión y los cuestionarios.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En completo contraste con la entrevista estructurada, las entrevistas cualitativas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son flexibles y dinamicas. Las entrevistas cualitativas han sido descriptas como no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directivas, no estructuradas, no estandarizadas y abiertas. Utilizamos la expresion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“entrevista en profundidad”para referirnos a este método de investigación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cualitativa. Por entrevistas cualitativas en profundidad entendemos reiterados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encuentros cara a caro entre el investigador y los informantes, éncuenotros estos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dirigidos hacia la compresion de las perspectivas que tienen los informantes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respecto a sus vidas, experiencias y situaciones tal como las expresanvon sus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propias palabras. Las entrevistas eb profundidad siguen una conversación entre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iguales y no de un intercambio formal de preguntas y respuestas abras: Las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entrevistas a profundidad siguen el modelo de una Conversación entre "iguales y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no de un intrcambio formal de preguntas y respuestas. Lejos de asemejarse a un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robot recolector de datos  el propio investigador es el instrumento en la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investigacion. El rol implica  no sóló obtener respuestas, sino también aprender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qué preguntas hacer y cómo hacerlas.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LA SELECCiON DIE INFORMANTES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Como la observación participante, las entrevistas cualitativas requieren un diseflo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flexible de la investigación. Ni el número ni el tipo de informantes se especifica de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antemano. El investigador comienza con luna idea general sobre las personas 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las que entrevistará y el modo de encontrarlas, pero está dispuesto a cambiar de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curso despues de las entrevistas iniciales. Es difícil detennin.ar a cu4ntas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personas se debe entrevistar en un estudio cualitativo. Algunos investigadores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tratan de entrevis. tar al mayor nÍimero posible de petsonas familiarizadas con un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tema o acontecimiento. En un estudio sobre un sindicato de maestros de la ciudad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de Nueva York, Cote (1976) realizó entrevistas  en profundidad con 25 lideres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sindicales, es decir con casi todos los lítlercs de la ciudad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LAS PREGUNTAS DESCRIPTIVAS.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Probablemente el mejor modo de iniciar las entrevistas con informantes consista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en pedirles que describan, enumeren o bosquejen acontecimientos, experiencias,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lugares o personas de sus vidas. Prácticamente en todas las entrevistas uno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puede presentar una lisia de preguntas descriptivas que les pennitirán a las per-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sonas hablar sobre lo que ellos consideran importante, sin estructurarles las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respuestas.En nuestras historias de vida de retardados mentales iniciamos las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entrevistas pidiendo a los informantes que nos proporcionaran cronologfas de los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principales acontecimientos de su vida.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LA GUIA DE LA ENTREVISTA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En los proyectos de entrevistas en gran escala algunos investigadores utilizan una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guia de la entrevista para asegurarse de que los temas sean explorados con un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cierto numero de  informantes. La guía de la entrevita no es un protocolo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estructurado. se trata de una lista de áreas generales que deben cubrirse con cada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informante. En la situación de entrevista el investigador decide cómo enunciar las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preguntas y cuándo formularlas. La gufa de la entrevista sirve solamente para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recordar que se deben hacer preguntas sobre ciertos temas.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  <w:r>
        <w:rPr>
          <w:position w:val="0"/>
          <w:sz w:val="24"/>
          <w:szCs w:val="24"/>
          <w:rFonts w:ascii="Arial" w:eastAsia="Arial" w:hAnsi="Arial" w:hint="default"/>
        </w:rPr>
        <w:t xml:space="preserve">El empleo de guías presupone un cierto grado de conocimiento sobre las personas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que uno intenta estudiar (por lo menos en las entrevistas en profundidad), Este tipo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de guia es util cuando el investigador ya ha aprendido algo sobre los informantes a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través del trabajo de campo, entrevistas preliminares u otra experiencia directa.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Esa guia puede asimismo ser ampliada o revisada a medida que se realizan </w:t>
      </w:r>
      <w:r>
        <w:rPr>
          <w:position w:val="0"/>
          <w:sz w:val="24"/>
          <w:szCs w:val="24"/>
          <w:rFonts w:ascii="Arial" w:eastAsia="Arial" w:hAnsi="Arial" w:hint="default"/>
        </w:rPr>
        <w:t xml:space="preserve">entrevistas adicionales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4"/>
          <w:szCs w:val="24"/>
          <w:rFonts w:ascii="Arial" w:eastAsia="Arial" w:hAnsi="Arial" w:hint="default"/>
        </w:rPr>
      </w:pPr>
    </w:p>
    <w:sectPr>
      <w:pgSz w:w="12240" w:h="15840"/>
      <w:pgMar w:top="1417" w:left="1701" w:bottom="1417" w:right="1701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Verdana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Calibri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20" w:type="character">
    <w:name w:val="Strong"/>
    <w:basedOn w:val="PO2"/>
    <w:qFormat/>
    <w:uiPriority w:val="20"/>
    <w:rPr>
      <w:b/>
      <w:shd w:val="clear"/>
      <w:sz w:val="20"/>
      <w:szCs w:val="2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yperlink" Target="http://187.160.244.18/sistema/ActividadSalon/Cartera.asp?e=enep-00038&amp;c=600765339&amp;p=AB02319BM371M1700733146B66&amp;idMateria=4883" TargetMode="External"></Relationship><Relationship Id="rId6" Type="http://schemas.openxmlformats.org/officeDocument/2006/relationships/hyperlink" Target="http://187.160.244.18/sistema/ActividadSalon/Cartera.asp?e=enep-00038&amp;c=600765339&amp;p=AB02319BM371M1700733146B66&amp;idMateria=4883" TargetMode="External"></Relationship><Relationship Id="rId7" Type="http://schemas.openxmlformats.org/officeDocument/2006/relationships/image" Target="media/image1.png"></Relationship><Relationship Id="rId8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41</Lines>
  <LinksUpToDate>false</LinksUpToDate>
  <Pages>6</Pages>
  <Paragraphs>11</Paragraphs>
  <Words>910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pass</dc:creator>
  <cp:lastModifiedBy>Polaris Office</cp:lastModifiedBy>
  <dcterms:modified xsi:type="dcterms:W3CDTF">2019-02-07T22:56:00Z</dcterms:modified>
</cp:coreProperties>
</file>