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B41084" w:rsidRDefault="007E74DB" w:rsidP="007F3C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7F3C46">
        <w:rPr>
          <w:rFonts w:ascii="Arial" w:hAnsi="Arial" w:cs="Arial"/>
          <w:b/>
          <w:sz w:val="32"/>
          <w:szCs w:val="32"/>
        </w:rPr>
        <w:t>2019-2020</w:t>
      </w:r>
    </w:p>
    <w:p w:rsidR="007F3C46" w:rsidRDefault="007F3C46" w:rsidP="007F3C4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</w:t>
      </w:r>
      <w:r w:rsidR="007F3C46">
        <w:rPr>
          <w:rFonts w:ascii="Arial" w:hAnsi="Arial" w:cs="Arial"/>
          <w:b/>
        </w:rPr>
        <w:t xml:space="preserve">: Karla Gabriela Morín de la Rosa </w:t>
      </w:r>
      <w:r>
        <w:rPr>
          <w:rFonts w:ascii="Arial" w:hAnsi="Arial" w:cs="Arial"/>
          <w:b/>
        </w:rPr>
        <w:t xml:space="preserve">Grado: </w:t>
      </w:r>
      <w:r w:rsidR="007F3C46">
        <w:rPr>
          <w:rFonts w:ascii="Arial" w:hAnsi="Arial" w:cs="Arial"/>
          <w:u w:val="single"/>
        </w:rPr>
        <w:t xml:space="preserve">__1°  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7F3C46">
        <w:rPr>
          <w:rFonts w:ascii="Arial" w:hAnsi="Arial" w:cs="Arial"/>
          <w:u w:val="single"/>
        </w:rPr>
        <w:t>:     “A”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7F3C46">
        <w:rPr>
          <w:rFonts w:ascii="Arial" w:hAnsi="Arial" w:cs="Arial"/>
          <w:u w:val="single"/>
        </w:rPr>
        <w:t>_6°to</w:t>
      </w:r>
      <w:r w:rsidR="009D7DF7">
        <w:rPr>
          <w:rFonts w:ascii="Arial" w:hAnsi="Arial" w:cs="Arial"/>
          <w:b/>
        </w:rPr>
        <w:t xml:space="preserve"> 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7F754E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Todas las actividades fueron “previstas”, y fueron “aisladas”, mejor reforzamiento de conocimiento para conocer más el grupo.</w:t>
            </w:r>
          </w:p>
        </w:tc>
        <w:tc>
          <w:tcPr>
            <w:tcW w:w="938" w:type="pct"/>
            <w:vAlign w:val="center"/>
          </w:tcPr>
          <w:p w:rsidR="009B6111" w:rsidRPr="006C5F86" w:rsidRDefault="007F754E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No se tenía mucho conocimiento de grupo, sin embargo no fue impedimento.</w:t>
            </w:r>
          </w:p>
        </w:tc>
        <w:tc>
          <w:tcPr>
            <w:tcW w:w="1037" w:type="pct"/>
            <w:vAlign w:val="center"/>
          </w:tcPr>
          <w:p w:rsidR="009B6111" w:rsidRPr="006C5F86" w:rsidRDefault="007F754E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 xml:space="preserve"> Hacer planeación para un grupo que no se tiene mucho diagnóstico.</w:t>
            </w:r>
          </w:p>
        </w:tc>
        <w:tc>
          <w:tcPr>
            <w:tcW w:w="716" w:type="pct"/>
          </w:tcPr>
          <w:p w:rsidR="009B6111" w:rsidRDefault="007F3C46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 </w:t>
            </w:r>
          </w:p>
          <w:p w:rsidR="007F3C46" w:rsidRDefault="007F3C46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F3C46" w:rsidRPr="00903346" w:rsidRDefault="007F3C46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7F754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siempre fue innovador y muy llamativo</w:t>
            </w:r>
          </w:p>
        </w:tc>
        <w:tc>
          <w:tcPr>
            <w:tcW w:w="938" w:type="pct"/>
            <w:vAlign w:val="center"/>
          </w:tcPr>
          <w:p w:rsidR="009B6111" w:rsidRPr="008615AD" w:rsidRDefault="007F754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 todos atendían indicaciones y no sabían utilizarlo</w:t>
            </w:r>
          </w:p>
        </w:tc>
        <w:tc>
          <w:tcPr>
            <w:tcW w:w="1037" w:type="pct"/>
            <w:vAlign w:val="center"/>
          </w:tcPr>
          <w:p w:rsidR="009B6111" w:rsidRPr="008615AD" w:rsidRDefault="007F754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Preguntar niño por niño, sus intereses.</w:t>
            </w:r>
          </w:p>
        </w:tc>
        <w:tc>
          <w:tcPr>
            <w:tcW w:w="716" w:type="pct"/>
          </w:tcPr>
          <w:p w:rsidR="009B6111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  <w:p w:rsidR="007F3C46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F3C46" w:rsidRPr="00903346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5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7F754E" w:rsidP="007F754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 tomó siempre en cuenta con los tiempos medidos  </w:t>
            </w:r>
          </w:p>
        </w:tc>
        <w:tc>
          <w:tcPr>
            <w:tcW w:w="938" w:type="pct"/>
            <w:vAlign w:val="center"/>
          </w:tcPr>
          <w:p w:rsidR="009B6111" w:rsidRPr="008615AD" w:rsidRDefault="007F754E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mayoría de las actividades, no fueron realizadas en tiempo y forma</w:t>
            </w:r>
          </w:p>
        </w:tc>
        <w:tc>
          <w:tcPr>
            <w:tcW w:w="1037" w:type="pct"/>
            <w:vAlign w:val="center"/>
          </w:tcPr>
          <w:p w:rsidR="009B6111" w:rsidRPr="008615AD" w:rsidRDefault="007F754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adecuaciones diarias.</w:t>
            </w:r>
          </w:p>
        </w:tc>
        <w:tc>
          <w:tcPr>
            <w:tcW w:w="716" w:type="pct"/>
          </w:tcPr>
          <w:p w:rsidR="009B6111" w:rsidRDefault="009B6111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F3C46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F3C46" w:rsidRPr="00903346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7F754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su mayoría las actividades eran lúdicas</w:t>
            </w:r>
          </w:p>
        </w:tc>
        <w:tc>
          <w:tcPr>
            <w:tcW w:w="938" w:type="pct"/>
            <w:vAlign w:val="center"/>
          </w:tcPr>
          <w:p w:rsidR="009B6111" w:rsidRPr="008615AD" w:rsidRDefault="007F754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 tener el control del grupo</w:t>
            </w:r>
          </w:p>
        </w:tc>
        <w:tc>
          <w:tcPr>
            <w:tcW w:w="1037" w:type="pct"/>
            <w:vAlign w:val="center"/>
          </w:tcPr>
          <w:p w:rsidR="009B6111" w:rsidRPr="008615AD" w:rsidRDefault="007F754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Buscar nuevas estrategias, silbatos, conos, títeres, para traer su atención. </w:t>
            </w:r>
          </w:p>
        </w:tc>
        <w:tc>
          <w:tcPr>
            <w:tcW w:w="716" w:type="pct"/>
          </w:tcPr>
          <w:p w:rsidR="009B6111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</w:t>
            </w:r>
          </w:p>
          <w:p w:rsidR="007F3C46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F3C46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7F3C46" w:rsidRPr="00903346" w:rsidRDefault="007F3C46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7F754E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pesar de ser actividades de diagnóstico y situaciones aisladas, se pretendía tener congruencia por dia.</w:t>
            </w:r>
          </w:p>
        </w:tc>
        <w:tc>
          <w:tcPr>
            <w:tcW w:w="938" w:type="pct"/>
            <w:vAlign w:val="center"/>
          </w:tcPr>
          <w:p w:rsidR="009B6111" w:rsidRPr="008615AD" w:rsidRDefault="007F754E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Cuando no se aplicaban todas las actividades planeadas en el dia, se retomaban en el siguiente, claro dando prioridad a los aprendizajes.</w:t>
            </w:r>
          </w:p>
        </w:tc>
        <w:tc>
          <w:tcPr>
            <w:tcW w:w="1037" w:type="pct"/>
            <w:vAlign w:val="center"/>
          </w:tcPr>
          <w:p w:rsidR="009B6111" w:rsidRPr="008615AD" w:rsidRDefault="007F3C4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tiempo de cada actividad.</w:t>
            </w:r>
          </w:p>
        </w:tc>
        <w:tc>
          <w:tcPr>
            <w:tcW w:w="716" w:type="pct"/>
          </w:tcPr>
          <w:p w:rsidR="009B6111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F3C46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F3C46" w:rsidRPr="008615AD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7F3C4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 estimaba realizar asambleas por dia y a través de la observación y algunos instrumentos se haría la evaluación </w:t>
            </w:r>
          </w:p>
        </w:tc>
        <w:tc>
          <w:tcPr>
            <w:tcW w:w="938" w:type="pct"/>
            <w:vAlign w:val="center"/>
          </w:tcPr>
          <w:p w:rsidR="009B6111" w:rsidRPr="008615AD" w:rsidRDefault="007F3C4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Fueron pocas veces que se realizó la asamblea planeada. </w:t>
            </w:r>
          </w:p>
        </w:tc>
        <w:tc>
          <w:tcPr>
            <w:tcW w:w="1037" w:type="pct"/>
            <w:vAlign w:val="center"/>
          </w:tcPr>
          <w:p w:rsidR="009B6111" w:rsidRPr="008615AD" w:rsidRDefault="007F3C46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Entre actividad y por pequeños grupos, se iba retomando.</w:t>
            </w:r>
          </w:p>
        </w:tc>
        <w:tc>
          <w:tcPr>
            <w:tcW w:w="716" w:type="pct"/>
          </w:tcPr>
          <w:p w:rsidR="009B6111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F3C46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F3C46" w:rsidRPr="008615AD" w:rsidRDefault="007F3C46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2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85" w:rsidRDefault="00246085" w:rsidP="00304380">
      <w:r>
        <w:separator/>
      </w:r>
    </w:p>
  </w:endnote>
  <w:endnote w:type="continuationSeparator" w:id="0">
    <w:p w:rsidR="00246085" w:rsidRDefault="00246085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85" w:rsidRDefault="00246085" w:rsidP="00304380">
      <w:r>
        <w:separator/>
      </w:r>
    </w:p>
  </w:footnote>
  <w:footnote w:type="continuationSeparator" w:id="0">
    <w:p w:rsidR="00246085" w:rsidRDefault="00246085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085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7F3C46"/>
    <w:rsid w:val="007F754E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Tani</cp:lastModifiedBy>
  <cp:revision>2</cp:revision>
  <cp:lastPrinted>2012-04-27T16:09:00Z</cp:lastPrinted>
  <dcterms:created xsi:type="dcterms:W3CDTF">2019-03-20T05:06:00Z</dcterms:created>
  <dcterms:modified xsi:type="dcterms:W3CDTF">2019-03-20T05:06:00Z</dcterms:modified>
</cp:coreProperties>
</file>