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pct"/>
        <w:tblCellSpacing w:w="0" w:type="dxa"/>
        <w:tblCellMar>
          <w:top w:w="150" w:type="dxa"/>
          <w:left w:w="150" w:type="dxa"/>
          <w:bottom w:w="150" w:type="dxa"/>
          <w:right w:w="150" w:type="dxa"/>
        </w:tblCellMar>
        <w:tblLook w:val="04A0" w:firstRow="1" w:lastRow="0" w:firstColumn="1" w:lastColumn="0" w:noHBand="0" w:noVBand="1"/>
      </w:tblPr>
      <w:tblGrid>
        <w:gridCol w:w="9452"/>
      </w:tblGrid>
      <w:tr w:rsidR="00824574" w:rsidRPr="00824574">
        <w:trPr>
          <w:tblCellSpacing w:w="0" w:type="dxa"/>
        </w:trPr>
        <w:tc>
          <w:tcPr>
            <w:tcW w:w="0" w:type="auto"/>
            <w:vAlign w:val="center"/>
            <w:hideMark/>
          </w:tcPr>
          <w:bookmarkStart w:id="0" w:name="_GoBack"/>
          <w:bookmarkEnd w:id="0"/>
          <w:p w:rsidR="00615FAD" w:rsidRDefault="00A02A61" w:rsidP="00615FAD">
            <w:pPr>
              <w:spacing w:line="240" w:lineRule="auto"/>
              <w:rPr>
                <w:rFonts w:eastAsia="Times New Roman" w:cs="Arial"/>
                <w:b/>
                <w:bCs/>
                <w:color w:val="660000"/>
                <w:sz w:val="24"/>
                <w:szCs w:val="24"/>
                <w:lang w:eastAsia="es-ES"/>
              </w:rPr>
            </w:pPr>
            <w:r>
              <w:fldChar w:fldCharType="begin"/>
            </w:r>
            <w:r w:rsidR="00824574">
              <w:instrText>HYPERLINK "http://redie.uabc.mx/vol9no2/contenido-vilanova.html" \t "_blank" \o "tabla propuesta"</w:instrText>
            </w:r>
            <w:r>
              <w:fldChar w:fldCharType="separate"/>
            </w:r>
            <w:r w:rsidR="00824574">
              <w:rPr>
                <w:rStyle w:val="Hipervnculo"/>
                <w:rFonts w:cs="Arial"/>
                <w:sz w:val="18"/>
                <w:szCs w:val="18"/>
              </w:rPr>
              <w:t xml:space="preserve">Tabla propuesta por </w:t>
            </w:r>
            <w:proofErr w:type="spellStart"/>
            <w:r w:rsidR="00824574">
              <w:rPr>
                <w:rStyle w:val="Hipervnculo"/>
                <w:rFonts w:cs="Arial"/>
                <w:sz w:val="18"/>
                <w:szCs w:val="18"/>
              </w:rPr>
              <w:t>Vilanova</w:t>
            </w:r>
            <w:proofErr w:type="spellEnd"/>
            <w:r w:rsidR="00824574">
              <w:rPr>
                <w:rStyle w:val="Hipervnculo"/>
                <w:rFonts w:cs="Arial"/>
                <w:sz w:val="18"/>
                <w:szCs w:val="18"/>
              </w:rPr>
              <w:t xml:space="preserve">, García y </w:t>
            </w:r>
            <w:proofErr w:type="spellStart"/>
            <w:r w:rsidR="00824574">
              <w:rPr>
                <w:rStyle w:val="Hipervnculo"/>
                <w:rFonts w:cs="Arial"/>
                <w:sz w:val="18"/>
                <w:szCs w:val="18"/>
              </w:rPr>
              <w:t>Señoriño</w:t>
            </w:r>
            <w:proofErr w:type="spellEnd"/>
            <w:r>
              <w:fldChar w:fldCharType="end"/>
            </w:r>
            <w:r w:rsidR="00824574">
              <w:rPr>
                <w:rFonts w:cs="Arial"/>
                <w:color w:val="4B4B4B"/>
                <w:sz w:val="18"/>
                <w:szCs w:val="18"/>
              </w:rPr>
              <w:t xml:space="preserve"> (</w:t>
            </w:r>
            <w:proofErr w:type="spellStart"/>
            <w:r w:rsidR="00824574">
              <w:rPr>
                <w:rFonts w:cs="Arial"/>
                <w:color w:val="4B4B4B"/>
                <w:sz w:val="18"/>
                <w:szCs w:val="18"/>
              </w:rPr>
              <w:t>op</w:t>
            </w:r>
            <w:proofErr w:type="spellEnd"/>
            <w:r w:rsidR="00824574">
              <w:rPr>
                <w:rFonts w:cs="Arial"/>
                <w:color w:val="4B4B4B"/>
                <w:sz w:val="18"/>
                <w:szCs w:val="18"/>
              </w:rPr>
              <w:t xml:space="preserve">. cit.), donde se sintetizan los principales supuestos de cada teoría implícita sobre el aprendizaje. En </w:t>
            </w:r>
            <w:proofErr w:type="spellStart"/>
            <w:r w:rsidR="00824574">
              <w:rPr>
                <w:rFonts w:cs="Arial"/>
                <w:color w:val="4B4B4B"/>
                <w:sz w:val="18"/>
                <w:szCs w:val="18"/>
              </w:rPr>
              <w:t>Vilanova</w:t>
            </w:r>
            <w:proofErr w:type="spellEnd"/>
            <w:r w:rsidR="00824574">
              <w:rPr>
                <w:rFonts w:cs="Arial"/>
                <w:color w:val="4B4B4B"/>
                <w:sz w:val="18"/>
                <w:szCs w:val="18"/>
              </w:rPr>
              <w:t xml:space="preserve">, S., García M. B. y </w:t>
            </w:r>
            <w:proofErr w:type="spellStart"/>
            <w:r w:rsidR="00824574">
              <w:rPr>
                <w:rFonts w:cs="Arial"/>
                <w:color w:val="4B4B4B"/>
                <w:sz w:val="18"/>
                <w:szCs w:val="18"/>
              </w:rPr>
              <w:t>Señoriño</w:t>
            </w:r>
            <w:proofErr w:type="spellEnd"/>
            <w:r w:rsidR="00824574">
              <w:rPr>
                <w:rFonts w:cs="Arial"/>
                <w:color w:val="4B4B4B"/>
                <w:sz w:val="18"/>
                <w:szCs w:val="18"/>
              </w:rPr>
              <w:t xml:space="preserve">, O. (2007). Concepciones acerca del aprendizaje: diseño y validación de un cuestionario para profesores en formación. Revista Electrónica de Investigación Educativa, 9 (2). </w:t>
            </w:r>
            <w:r w:rsidR="00824574">
              <w:rPr>
                <w:rFonts w:cs="Arial"/>
                <w:color w:val="4B4B4B"/>
                <w:sz w:val="18"/>
                <w:szCs w:val="18"/>
              </w:rPr>
              <w:br/>
            </w:r>
          </w:p>
          <w:p w:rsidR="00824574" w:rsidRPr="00615FAD" w:rsidRDefault="00824574" w:rsidP="00615FAD">
            <w:pPr>
              <w:spacing w:line="240" w:lineRule="auto"/>
              <w:rPr>
                <w:rFonts w:asciiTheme="minorHAnsi" w:eastAsia="Times New Roman" w:hAnsiTheme="minorHAnsi" w:cstheme="minorHAnsi"/>
                <w:color w:val="000000"/>
                <w:sz w:val="24"/>
                <w:szCs w:val="24"/>
                <w:lang w:eastAsia="es-ES"/>
              </w:rPr>
            </w:pPr>
            <w:r w:rsidRPr="00615FAD">
              <w:rPr>
                <w:rFonts w:asciiTheme="minorHAnsi" w:eastAsia="Times New Roman" w:hAnsiTheme="minorHAnsi" w:cstheme="minorHAnsi"/>
                <w:b/>
                <w:bCs/>
                <w:color w:val="660000"/>
                <w:sz w:val="24"/>
                <w:szCs w:val="24"/>
                <w:lang w:eastAsia="es-ES"/>
              </w:rPr>
              <w:t xml:space="preserve">Anexo 2. Interpretación de los resultados </w:t>
            </w:r>
          </w:p>
        </w:tc>
      </w:tr>
      <w:tr w:rsidR="00824574" w:rsidRPr="00824574">
        <w:trPr>
          <w:tblCellSpacing w:w="0" w:type="dxa"/>
        </w:trPr>
        <w:tc>
          <w:tcPr>
            <w:tcW w:w="0" w:type="auto"/>
            <w:vAlign w:val="center"/>
            <w:hideMark/>
          </w:tcPr>
          <w:p w:rsidR="00824574" w:rsidRPr="00615FAD" w:rsidRDefault="00824574" w:rsidP="00824574">
            <w:pPr>
              <w:spacing w:before="100" w:beforeAutospacing="1" w:after="100" w:afterAutospacing="1" w:line="240" w:lineRule="auto"/>
              <w:rPr>
                <w:rFonts w:asciiTheme="minorHAnsi" w:eastAsia="Times New Roman" w:hAnsiTheme="minorHAnsi" w:cstheme="minorHAnsi"/>
                <w:color w:val="000000"/>
                <w:sz w:val="24"/>
                <w:szCs w:val="24"/>
                <w:lang w:eastAsia="es-ES"/>
              </w:rPr>
            </w:pPr>
            <w:r w:rsidRPr="00615FAD">
              <w:rPr>
                <w:rFonts w:asciiTheme="minorHAnsi" w:eastAsia="Times New Roman" w:hAnsiTheme="minorHAnsi" w:cstheme="minorHAnsi"/>
                <w:color w:val="000000"/>
                <w:sz w:val="24"/>
                <w:szCs w:val="24"/>
                <w:lang w:eastAsia="es-ES"/>
              </w:rPr>
              <w:t xml:space="preserve">Para interpretar los resultados, puede usarse como guía la siguiente Tabla A2, donde se sintetizan los principales supuestos de cada teoría de dominio, en función de las tres dimensiones de la variable, surgidas del análisis estadístico. </w:t>
            </w:r>
          </w:p>
          <w:p w:rsidR="0015746B" w:rsidRDefault="00824574" w:rsidP="00824574">
            <w:pPr>
              <w:spacing w:before="100" w:beforeAutospacing="1" w:after="100" w:afterAutospacing="1" w:line="240" w:lineRule="auto"/>
              <w:jc w:val="center"/>
              <w:rPr>
                <w:rFonts w:asciiTheme="minorHAnsi" w:eastAsia="Times New Roman" w:hAnsiTheme="minorHAnsi" w:cstheme="minorHAnsi"/>
                <w:color w:val="000000"/>
                <w:sz w:val="24"/>
                <w:szCs w:val="24"/>
                <w:lang w:eastAsia="es-ES"/>
              </w:rPr>
            </w:pPr>
            <w:r w:rsidRPr="00615FAD">
              <w:rPr>
                <w:rFonts w:asciiTheme="minorHAnsi" w:eastAsia="Times New Roman" w:hAnsiTheme="minorHAnsi" w:cstheme="minorHAnsi"/>
                <w:color w:val="000000"/>
                <w:sz w:val="24"/>
                <w:szCs w:val="24"/>
                <w:lang w:eastAsia="es-ES"/>
              </w:rPr>
              <w:t xml:space="preserve">Tabla A2. Relación entre los principales supuestos de las teorías de dominio y las dimensiones </w:t>
            </w:r>
            <w:r w:rsidR="002F62D8" w:rsidRPr="00615FAD">
              <w:rPr>
                <w:rFonts w:asciiTheme="minorHAnsi" w:eastAsia="Times New Roman" w:hAnsiTheme="minorHAnsi" w:cstheme="minorHAnsi"/>
                <w:color w:val="000000"/>
                <w:sz w:val="24"/>
                <w:szCs w:val="24"/>
                <w:lang w:eastAsia="es-ES"/>
              </w:rPr>
              <w:t>d</w:t>
            </w:r>
            <w:r w:rsidRPr="00615FAD">
              <w:rPr>
                <w:rFonts w:asciiTheme="minorHAnsi" w:eastAsia="Times New Roman" w:hAnsiTheme="minorHAnsi" w:cstheme="minorHAnsi"/>
                <w:color w:val="000000"/>
                <w:sz w:val="24"/>
                <w:szCs w:val="24"/>
                <w:lang w:eastAsia="es-ES"/>
              </w:rPr>
              <w:t>e la variable</w:t>
            </w:r>
          </w:p>
          <w:p w:rsidR="00B351AE" w:rsidRPr="00615FAD" w:rsidRDefault="00B351AE" w:rsidP="00824574">
            <w:pPr>
              <w:spacing w:before="100" w:beforeAutospacing="1" w:after="100" w:afterAutospacing="1" w:line="240" w:lineRule="auto"/>
              <w:jc w:val="center"/>
              <w:rPr>
                <w:rFonts w:asciiTheme="minorHAnsi" w:eastAsia="Times New Roman" w:hAnsiTheme="minorHAnsi" w:cstheme="minorHAnsi"/>
                <w:color w:val="000000"/>
                <w:sz w:val="24"/>
                <w:szCs w:val="24"/>
                <w:lang w:eastAsia="es-ES"/>
              </w:rPr>
            </w:pPr>
          </w:p>
          <w:tbl>
            <w:tblPr>
              <w:tblStyle w:val="Tablaconcuadrcula"/>
              <w:tblW w:w="0" w:type="auto"/>
              <w:tblLook w:val="04A0" w:firstRow="1" w:lastRow="0" w:firstColumn="1" w:lastColumn="0" w:noHBand="0" w:noVBand="1"/>
            </w:tblPr>
            <w:tblGrid>
              <w:gridCol w:w="2284"/>
              <w:gridCol w:w="2284"/>
              <w:gridCol w:w="2284"/>
              <w:gridCol w:w="2285"/>
            </w:tblGrid>
            <w:tr w:rsidR="002F62D8" w:rsidRPr="00B351AE" w:rsidTr="00FE0C9E">
              <w:tc>
                <w:tcPr>
                  <w:tcW w:w="2284" w:type="dxa"/>
                  <w:shd w:val="clear" w:color="auto" w:fill="CCC0D9" w:themeFill="accent4" w:themeFillTint="66"/>
                </w:tcPr>
                <w:p w:rsidR="002F62D8" w:rsidRPr="00B351AE" w:rsidRDefault="002F62D8" w:rsidP="00824574">
                  <w:pPr>
                    <w:spacing w:before="100" w:beforeAutospacing="1" w:after="100" w:afterAutospacing="1"/>
                    <w:jc w:val="center"/>
                    <w:rPr>
                      <w:rFonts w:asciiTheme="minorHAnsi" w:eastAsia="Times New Roman" w:hAnsiTheme="minorHAnsi" w:cs="Arial"/>
                      <w:b/>
                      <w:color w:val="000000"/>
                      <w:sz w:val="22"/>
                      <w:lang w:eastAsia="es-ES"/>
                    </w:rPr>
                  </w:pPr>
                  <w:r w:rsidRPr="00B351AE">
                    <w:rPr>
                      <w:rFonts w:asciiTheme="minorHAnsi" w:eastAsia="Times New Roman" w:hAnsiTheme="minorHAnsi" w:cs="Arial"/>
                      <w:b/>
                      <w:color w:val="000000"/>
                      <w:sz w:val="22"/>
                      <w:lang w:eastAsia="es-ES"/>
                    </w:rPr>
                    <w:t>Dimensiones de las variables</w:t>
                  </w:r>
                </w:p>
              </w:tc>
              <w:tc>
                <w:tcPr>
                  <w:tcW w:w="2284" w:type="dxa"/>
                  <w:shd w:val="clear" w:color="auto" w:fill="CCC0D9" w:themeFill="accent4" w:themeFillTint="66"/>
                </w:tcPr>
                <w:p w:rsidR="002F62D8" w:rsidRPr="00B351AE" w:rsidRDefault="002F62D8" w:rsidP="00824574">
                  <w:pPr>
                    <w:spacing w:before="100" w:beforeAutospacing="1" w:after="100" w:afterAutospacing="1"/>
                    <w:jc w:val="center"/>
                    <w:rPr>
                      <w:rFonts w:asciiTheme="minorHAnsi" w:eastAsia="Times New Roman" w:hAnsiTheme="minorHAnsi" w:cs="Arial"/>
                      <w:b/>
                      <w:color w:val="000000"/>
                      <w:sz w:val="22"/>
                      <w:lang w:eastAsia="es-ES"/>
                    </w:rPr>
                  </w:pPr>
                  <w:r w:rsidRPr="00B351AE">
                    <w:rPr>
                      <w:rFonts w:asciiTheme="minorHAnsi" w:eastAsia="Times New Roman" w:hAnsiTheme="minorHAnsi" w:cs="Arial"/>
                      <w:b/>
                      <w:color w:val="000000"/>
                      <w:sz w:val="22"/>
                      <w:lang w:eastAsia="es-ES"/>
                    </w:rPr>
                    <w:t>Teoría Directa</w:t>
                  </w:r>
                </w:p>
              </w:tc>
              <w:tc>
                <w:tcPr>
                  <w:tcW w:w="2284" w:type="dxa"/>
                  <w:shd w:val="clear" w:color="auto" w:fill="CCC0D9" w:themeFill="accent4" w:themeFillTint="66"/>
                </w:tcPr>
                <w:p w:rsidR="002F62D8" w:rsidRPr="00B351AE" w:rsidRDefault="002F62D8" w:rsidP="00824574">
                  <w:pPr>
                    <w:spacing w:before="100" w:beforeAutospacing="1" w:after="100" w:afterAutospacing="1"/>
                    <w:jc w:val="center"/>
                    <w:rPr>
                      <w:rFonts w:asciiTheme="minorHAnsi" w:eastAsia="Times New Roman" w:hAnsiTheme="minorHAnsi" w:cs="Arial"/>
                      <w:b/>
                      <w:color w:val="000000"/>
                      <w:sz w:val="22"/>
                      <w:lang w:eastAsia="es-ES"/>
                    </w:rPr>
                  </w:pPr>
                  <w:r w:rsidRPr="00B351AE">
                    <w:rPr>
                      <w:rFonts w:asciiTheme="minorHAnsi" w:eastAsia="Times New Roman" w:hAnsiTheme="minorHAnsi" w:cs="Arial"/>
                      <w:b/>
                      <w:color w:val="000000"/>
                      <w:sz w:val="22"/>
                      <w:lang w:eastAsia="es-ES"/>
                    </w:rPr>
                    <w:t>Teoría Interpretativa</w:t>
                  </w:r>
                </w:p>
              </w:tc>
              <w:tc>
                <w:tcPr>
                  <w:tcW w:w="2285" w:type="dxa"/>
                  <w:shd w:val="clear" w:color="auto" w:fill="CCC0D9" w:themeFill="accent4" w:themeFillTint="66"/>
                </w:tcPr>
                <w:p w:rsidR="002F62D8" w:rsidRPr="00B351AE" w:rsidRDefault="002F62D8" w:rsidP="00824574">
                  <w:pPr>
                    <w:spacing w:before="100" w:beforeAutospacing="1" w:after="100" w:afterAutospacing="1"/>
                    <w:jc w:val="center"/>
                    <w:rPr>
                      <w:rFonts w:asciiTheme="minorHAnsi" w:eastAsia="Times New Roman" w:hAnsiTheme="minorHAnsi" w:cs="Arial"/>
                      <w:b/>
                      <w:color w:val="000000"/>
                      <w:sz w:val="22"/>
                      <w:lang w:eastAsia="es-ES"/>
                    </w:rPr>
                  </w:pPr>
                  <w:r w:rsidRPr="00B351AE">
                    <w:rPr>
                      <w:rFonts w:asciiTheme="minorHAnsi" w:eastAsia="Times New Roman" w:hAnsiTheme="minorHAnsi" w:cs="Arial"/>
                      <w:b/>
                      <w:color w:val="000000"/>
                      <w:sz w:val="22"/>
                      <w:lang w:eastAsia="es-ES"/>
                    </w:rPr>
                    <w:t>Teoría Constructiva</w:t>
                  </w:r>
                </w:p>
              </w:tc>
            </w:tr>
            <w:tr w:rsidR="002F62D8" w:rsidRPr="00B351AE" w:rsidTr="00FE0C9E">
              <w:tc>
                <w:tcPr>
                  <w:tcW w:w="2284" w:type="dxa"/>
                  <w:shd w:val="clear" w:color="auto" w:fill="E5DFEC" w:themeFill="accent4" w:themeFillTint="33"/>
                </w:tcPr>
                <w:p w:rsidR="0088168C" w:rsidRPr="00B351AE" w:rsidRDefault="0088168C" w:rsidP="00824574">
                  <w:pPr>
                    <w:spacing w:before="100" w:beforeAutospacing="1" w:after="100" w:afterAutospacing="1"/>
                    <w:jc w:val="center"/>
                    <w:rPr>
                      <w:rFonts w:asciiTheme="minorHAnsi" w:eastAsia="Times New Roman" w:hAnsiTheme="minorHAnsi" w:cs="Arial"/>
                      <w:color w:val="000000"/>
                      <w:sz w:val="22"/>
                      <w:lang w:eastAsia="es-ES"/>
                    </w:rPr>
                  </w:pPr>
                </w:p>
                <w:p w:rsidR="002F62D8" w:rsidRPr="00B351AE" w:rsidRDefault="002F62D8"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Qué es aprender</w:t>
                  </w:r>
                </w:p>
                <w:p w:rsidR="002F62D8" w:rsidRPr="00B351AE" w:rsidRDefault="002F62D8"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Dilemas 1,7,10 y 12</w:t>
                  </w:r>
                </w:p>
              </w:tc>
              <w:tc>
                <w:tcPr>
                  <w:tcW w:w="2284" w:type="dxa"/>
                </w:tcPr>
                <w:p w:rsidR="002F62D8" w:rsidRPr="00B351AE" w:rsidRDefault="002F62D8" w:rsidP="0088168C">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Aprender es obte</w:t>
                  </w:r>
                  <w:r w:rsidR="0088168C" w:rsidRPr="00B351AE">
                    <w:rPr>
                      <w:rFonts w:asciiTheme="minorHAnsi" w:eastAsia="Times New Roman" w:hAnsiTheme="minorHAnsi" w:cs="Arial"/>
                      <w:color w:val="000000"/>
                      <w:sz w:val="22"/>
                      <w:lang w:eastAsia="es-ES"/>
                    </w:rPr>
                    <w:t xml:space="preserve">ner la copia fiel de un objeto. </w:t>
                  </w:r>
                  <w:r w:rsidRPr="00B351AE">
                    <w:rPr>
                      <w:rFonts w:asciiTheme="minorHAnsi" w:eastAsia="Times New Roman" w:hAnsiTheme="minorHAnsi" w:cs="Arial"/>
                      <w:color w:val="000000"/>
                      <w:sz w:val="22"/>
                      <w:lang w:eastAsia="es-ES"/>
                    </w:rPr>
                    <w:t>Implica llegar al resultado correcto sin considerar los procedimientos seguidos.</w:t>
                  </w:r>
                </w:p>
              </w:tc>
              <w:tc>
                <w:tcPr>
                  <w:tcW w:w="2284" w:type="dxa"/>
                </w:tcPr>
                <w:p w:rsidR="002F62D8" w:rsidRPr="00B351AE" w:rsidRDefault="002F62D8" w:rsidP="0088168C">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Aprender es obtener la copia de un objeto, pero sujeta a las limitaciones del procesamiento.</w:t>
                  </w:r>
                  <w:r w:rsidR="0088168C" w:rsidRPr="00B351AE">
                    <w:rPr>
                      <w:rFonts w:asciiTheme="minorHAnsi" w:eastAsia="Times New Roman" w:hAnsiTheme="minorHAnsi" w:cs="Arial"/>
                      <w:color w:val="000000"/>
                      <w:sz w:val="22"/>
                      <w:lang w:eastAsia="es-ES"/>
                    </w:rPr>
                    <w:t xml:space="preserve"> </w:t>
                  </w:r>
                  <w:r w:rsidRPr="00B351AE">
                    <w:rPr>
                      <w:rFonts w:asciiTheme="minorHAnsi" w:eastAsia="Times New Roman" w:hAnsiTheme="minorHAnsi" w:cs="Arial"/>
                      <w:color w:val="000000"/>
                      <w:sz w:val="22"/>
                      <w:lang w:eastAsia="es-ES"/>
                    </w:rPr>
                    <w:t>Prioriza el resultado correcto, pero acepta distintos procedimientos para alcanzarlo.</w:t>
                  </w:r>
                </w:p>
              </w:tc>
              <w:tc>
                <w:tcPr>
                  <w:tcW w:w="2285" w:type="dxa"/>
                </w:tcPr>
                <w:p w:rsidR="002F62D8" w:rsidRPr="00B351AE" w:rsidRDefault="002F62D8"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Aprender es representarse el objeto necesariamente recreándolo. Se prioriza la utilización de estr</w:t>
                  </w:r>
                  <w:r w:rsidR="00F30423" w:rsidRPr="00B351AE">
                    <w:rPr>
                      <w:rFonts w:asciiTheme="minorHAnsi" w:eastAsia="Times New Roman" w:hAnsiTheme="minorHAnsi" w:cs="Arial"/>
                      <w:color w:val="000000"/>
                      <w:sz w:val="22"/>
                      <w:lang w:eastAsia="es-ES"/>
                    </w:rPr>
                    <w:t>ategias adecuadas sobre el resul</w:t>
                  </w:r>
                  <w:r w:rsidRPr="00B351AE">
                    <w:rPr>
                      <w:rFonts w:asciiTheme="minorHAnsi" w:eastAsia="Times New Roman" w:hAnsiTheme="minorHAnsi" w:cs="Arial"/>
                      <w:color w:val="000000"/>
                      <w:sz w:val="22"/>
                      <w:lang w:eastAsia="es-ES"/>
                    </w:rPr>
                    <w:t>tado</w:t>
                  </w:r>
                </w:p>
              </w:tc>
            </w:tr>
            <w:tr w:rsidR="002F62D8" w:rsidRPr="00B351AE" w:rsidTr="00FE0C9E">
              <w:tc>
                <w:tcPr>
                  <w:tcW w:w="2284" w:type="dxa"/>
                  <w:shd w:val="clear" w:color="auto" w:fill="E5DFEC" w:themeFill="accent4" w:themeFillTint="33"/>
                </w:tcPr>
                <w:p w:rsidR="002F62D8" w:rsidRPr="00B351AE" w:rsidRDefault="00191ECA"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Qué se aprende</w:t>
                  </w:r>
                </w:p>
                <w:p w:rsidR="00191ECA" w:rsidRPr="00B351AE" w:rsidRDefault="00191ECA"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Dilemas 2, 4 y 5</w:t>
                  </w:r>
                </w:p>
              </w:tc>
              <w:tc>
                <w:tcPr>
                  <w:tcW w:w="2284" w:type="dxa"/>
                </w:tcPr>
                <w:p w:rsidR="002F62D8" w:rsidRPr="00B351AE" w:rsidRDefault="00611F10"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Contenidos disciplinares: información.</w:t>
                  </w:r>
                </w:p>
              </w:tc>
              <w:tc>
                <w:tcPr>
                  <w:tcW w:w="2284" w:type="dxa"/>
                </w:tcPr>
                <w:p w:rsidR="002F62D8" w:rsidRPr="00B351AE" w:rsidRDefault="00611F10"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Contenidos y ciertas capacidades cognitivas requeridas para comprenderlos; se priorizan los contenidos.</w:t>
                  </w:r>
                </w:p>
              </w:tc>
              <w:tc>
                <w:tcPr>
                  <w:tcW w:w="2285" w:type="dxa"/>
                </w:tcPr>
                <w:p w:rsidR="002F62D8" w:rsidRPr="00B351AE" w:rsidRDefault="00611F10"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Capacidades cognitivas y contenidos; se priorizan las capacidades cognitivas.</w:t>
                  </w:r>
                </w:p>
              </w:tc>
            </w:tr>
            <w:tr w:rsidR="002F62D8" w:rsidRPr="00B351AE" w:rsidTr="00FE0C9E">
              <w:tc>
                <w:tcPr>
                  <w:tcW w:w="2284" w:type="dxa"/>
                  <w:shd w:val="clear" w:color="auto" w:fill="E5DFEC" w:themeFill="accent4" w:themeFillTint="33"/>
                </w:tcPr>
                <w:p w:rsidR="0088168C" w:rsidRPr="00B351AE" w:rsidRDefault="0088168C" w:rsidP="00824574">
                  <w:pPr>
                    <w:spacing w:before="100" w:beforeAutospacing="1" w:after="100" w:afterAutospacing="1"/>
                    <w:jc w:val="center"/>
                    <w:rPr>
                      <w:rFonts w:asciiTheme="minorHAnsi" w:eastAsia="Times New Roman" w:hAnsiTheme="minorHAnsi" w:cs="Arial"/>
                      <w:color w:val="000000"/>
                      <w:sz w:val="22"/>
                      <w:lang w:eastAsia="es-ES"/>
                    </w:rPr>
                  </w:pPr>
                </w:p>
                <w:p w:rsidR="002F62D8" w:rsidRPr="00B351AE" w:rsidRDefault="00191ECA"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 xml:space="preserve">Cómo se aprende </w:t>
                  </w:r>
                </w:p>
                <w:p w:rsidR="00191ECA" w:rsidRPr="00B351AE" w:rsidRDefault="00191ECA"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Dilemas 6, 8, 9 y 11</w:t>
                  </w:r>
                </w:p>
              </w:tc>
              <w:tc>
                <w:tcPr>
                  <w:tcW w:w="2284" w:type="dxa"/>
                </w:tcPr>
                <w:p w:rsidR="002F62D8" w:rsidRPr="00B351AE" w:rsidRDefault="00044334" w:rsidP="0004433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A través de la incorporación de información por distintos medios externos (explicación del profesor, libro de texto, etc.) y de la práctica y la repetición.</w:t>
                  </w:r>
                </w:p>
              </w:tc>
              <w:tc>
                <w:tcPr>
                  <w:tcW w:w="2284" w:type="dxa"/>
                </w:tcPr>
                <w:p w:rsidR="002F62D8" w:rsidRPr="00B351AE" w:rsidRDefault="0015746B"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 xml:space="preserve">A través de </w:t>
                  </w:r>
                  <w:r w:rsidR="004358FF" w:rsidRPr="00B351AE">
                    <w:rPr>
                      <w:rFonts w:asciiTheme="minorHAnsi" w:eastAsia="Times New Roman" w:hAnsiTheme="minorHAnsi" w:cs="Arial"/>
                      <w:color w:val="000000"/>
                      <w:sz w:val="22"/>
                      <w:lang w:eastAsia="es-ES"/>
                    </w:rPr>
                    <w:t>la incorporación de información externa, pero procesada por las distintas capacidades cognitivas desarrolladas.</w:t>
                  </w:r>
                </w:p>
              </w:tc>
              <w:tc>
                <w:tcPr>
                  <w:tcW w:w="2285" w:type="dxa"/>
                </w:tcPr>
                <w:p w:rsidR="002F62D8" w:rsidRPr="00B351AE" w:rsidRDefault="0047109E" w:rsidP="00824574">
                  <w:pPr>
                    <w:spacing w:before="100" w:beforeAutospacing="1" w:after="100" w:afterAutospacing="1"/>
                    <w:jc w:val="center"/>
                    <w:rPr>
                      <w:rFonts w:asciiTheme="minorHAnsi" w:eastAsia="Times New Roman" w:hAnsiTheme="minorHAnsi" w:cs="Arial"/>
                      <w:color w:val="000000"/>
                      <w:sz w:val="22"/>
                      <w:lang w:eastAsia="es-ES"/>
                    </w:rPr>
                  </w:pPr>
                  <w:r w:rsidRPr="00B351AE">
                    <w:rPr>
                      <w:rFonts w:asciiTheme="minorHAnsi" w:eastAsia="Times New Roman" w:hAnsiTheme="minorHAnsi" w:cs="Arial"/>
                      <w:color w:val="000000"/>
                      <w:sz w:val="22"/>
                      <w:lang w:eastAsia="es-ES"/>
                    </w:rPr>
                    <w:t>A través del desarrollo de estrategias que permitan la indagación, la búsqueda de información, la resolución de problemas y el planteo de nuevas preguntas.</w:t>
                  </w:r>
                </w:p>
              </w:tc>
            </w:tr>
          </w:tbl>
          <w:p w:rsidR="00824574" w:rsidRPr="00824574" w:rsidRDefault="00824574" w:rsidP="00824574">
            <w:pPr>
              <w:spacing w:before="100" w:beforeAutospacing="1" w:after="100" w:afterAutospacing="1" w:line="240" w:lineRule="auto"/>
              <w:rPr>
                <w:rFonts w:eastAsia="Times New Roman" w:cs="Arial"/>
                <w:color w:val="000000"/>
                <w:sz w:val="24"/>
                <w:szCs w:val="24"/>
                <w:lang w:eastAsia="es-ES"/>
              </w:rPr>
            </w:pPr>
            <w:r>
              <w:rPr>
                <w:rFonts w:eastAsia="Times New Roman" w:cs="Arial"/>
                <w:noProof/>
                <w:color w:val="000000"/>
                <w:sz w:val="24"/>
                <w:szCs w:val="24"/>
                <w:lang w:val="es-MX" w:eastAsia="es-MX"/>
              </w:rPr>
              <w:lastRenderedPageBreak/>
              <w:drawing>
                <wp:inline distT="0" distB="0" distL="0" distR="0" wp14:anchorId="4D7ADACB" wp14:editId="7D286F0A">
                  <wp:extent cx="5050383" cy="3635675"/>
                  <wp:effectExtent l="19050" t="0" r="0" b="0"/>
                  <wp:docPr id="1" name="Imagen 1" descr="http://redie.uabc.mx/contenido/vol9no2/art-179-spa/tabla1-anexo2-contenido-vila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die.uabc.mx/contenido/vol9no2/art-179-spa/tabla1-anexo2-contenido-vilanova.jpg"/>
                          <pic:cNvPicPr>
                            <a:picLocks noChangeAspect="1" noChangeArrowheads="1"/>
                          </pic:cNvPicPr>
                        </pic:nvPicPr>
                        <pic:blipFill>
                          <a:blip r:embed="rId4" cstate="print"/>
                          <a:srcRect/>
                          <a:stretch>
                            <a:fillRect/>
                          </a:stretch>
                        </pic:blipFill>
                        <pic:spPr bwMode="auto">
                          <a:xfrm>
                            <a:off x="0" y="0"/>
                            <a:ext cx="5052188" cy="3636975"/>
                          </a:xfrm>
                          <a:prstGeom prst="rect">
                            <a:avLst/>
                          </a:prstGeom>
                          <a:noFill/>
                          <a:ln w="9525">
                            <a:noFill/>
                            <a:miter lim="800000"/>
                            <a:headEnd/>
                            <a:tailEnd/>
                          </a:ln>
                        </pic:spPr>
                      </pic:pic>
                    </a:graphicData>
                  </a:graphic>
                </wp:inline>
              </w:drawing>
            </w:r>
          </w:p>
        </w:tc>
      </w:tr>
      <w:tr w:rsidR="00824574" w:rsidRPr="00824574">
        <w:trPr>
          <w:tblCellSpacing w:w="0" w:type="dxa"/>
        </w:trPr>
        <w:tc>
          <w:tcPr>
            <w:tcW w:w="0" w:type="auto"/>
            <w:vAlign w:val="center"/>
            <w:hideMark/>
          </w:tcPr>
          <w:p w:rsidR="00824574" w:rsidRPr="00824574" w:rsidRDefault="00824574" w:rsidP="00824574">
            <w:pPr>
              <w:spacing w:line="240" w:lineRule="auto"/>
              <w:rPr>
                <w:rFonts w:eastAsia="Times New Roman" w:cs="Arial"/>
                <w:color w:val="000000"/>
                <w:sz w:val="24"/>
                <w:szCs w:val="24"/>
                <w:lang w:eastAsia="es-ES"/>
              </w:rPr>
            </w:pPr>
            <w:r w:rsidRPr="00824574">
              <w:rPr>
                <w:rFonts w:eastAsia="Times New Roman" w:cs="Arial"/>
                <w:color w:val="000000"/>
                <w:sz w:val="24"/>
                <w:szCs w:val="24"/>
                <w:lang w:eastAsia="es-ES"/>
              </w:rPr>
              <w:lastRenderedPageBreak/>
              <w:t xml:space="preserve">  </w:t>
            </w:r>
          </w:p>
        </w:tc>
      </w:tr>
    </w:tbl>
    <w:p w:rsidR="00824574" w:rsidRPr="00824574" w:rsidRDefault="00824574">
      <w:pPr>
        <w:rPr>
          <w:lang w:val="es-MX"/>
        </w:rPr>
      </w:pPr>
    </w:p>
    <w:sectPr w:rsidR="00824574" w:rsidRPr="00824574" w:rsidSect="00BD1AC3">
      <w:pgSz w:w="12242" w:h="15842"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74"/>
    <w:rsid w:val="00001195"/>
    <w:rsid w:val="00005906"/>
    <w:rsid w:val="00015D6C"/>
    <w:rsid w:val="00017B50"/>
    <w:rsid w:val="0002451A"/>
    <w:rsid w:val="00026282"/>
    <w:rsid w:val="00030C48"/>
    <w:rsid w:val="000314C3"/>
    <w:rsid w:val="00031C31"/>
    <w:rsid w:val="00033005"/>
    <w:rsid w:val="00034027"/>
    <w:rsid w:val="0003610F"/>
    <w:rsid w:val="00037C1C"/>
    <w:rsid w:val="000406E4"/>
    <w:rsid w:val="00044334"/>
    <w:rsid w:val="00046B3C"/>
    <w:rsid w:val="000476D1"/>
    <w:rsid w:val="00050B4A"/>
    <w:rsid w:val="0005212A"/>
    <w:rsid w:val="00053384"/>
    <w:rsid w:val="00053D7D"/>
    <w:rsid w:val="00055346"/>
    <w:rsid w:val="00055C22"/>
    <w:rsid w:val="000562A9"/>
    <w:rsid w:val="00060CB0"/>
    <w:rsid w:val="0006204B"/>
    <w:rsid w:val="0007446F"/>
    <w:rsid w:val="000749E6"/>
    <w:rsid w:val="000757C4"/>
    <w:rsid w:val="000763EA"/>
    <w:rsid w:val="00077F52"/>
    <w:rsid w:val="00080AD6"/>
    <w:rsid w:val="00083A1E"/>
    <w:rsid w:val="0008438D"/>
    <w:rsid w:val="00085907"/>
    <w:rsid w:val="0009099E"/>
    <w:rsid w:val="00093626"/>
    <w:rsid w:val="0009430D"/>
    <w:rsid w:val="00095599"/>
    <w:rsid w:val="000B13FC"/>
    <w:rsid w:val="000B1ECD"/>
    <w:rsid w:val="000B5740"/>
    <w:rsid w:val="000C07C9"/>
    <w:rsid w:val="000C3451"/>
    <w:rsid w:val="000D18C7"/>
    <w:rsid w:val="000D4373"/>
    <w:rsid w:val="000D6280"/>
    <w:rsid w:val="000E2E3C"/>
    <w:rsid w:val="000E351F"/>
    <w:rsid w:val="000E3B15"/>
    <w:rsid w:val="000F1057"/>
    <w:rsid w:val="000F2F84"/>
    <w:rsid w:val="001000B2"/>
    <w:rsid w:val="00100560"/>
    <w:rsid w:val="00100CE0"/>
    <w:rsid w:val="00101ED9"/>
    <w:rsid w:val="001057F6"/>
    <w:rsid w:val="00111539"/>
    <w:rsid w:val="00114043"/>
    <w:rsid w:val="00114CC5"/>
    <w:rsid w:val="00116326"/>
    <w:rsid w:val="0012180E"/>
    <w:rsid w:val="00123366"/>
    <w:rsid w:val="0014392B"/>
    <w:rsid w:val="00147425"/>
    <w:rsid w:val="0015049F"/>
    <w:rsid w:val="00151094"/>
    <w:rsid w:val="00152F5D"/>
    <w:rsid w:val="0015746B"/>
    <w:rsid w:val="001607B1"/>
    <w:rsid w:val="00163416"/>
    <w:rsid w:val="001661AC"/>
    <w:rsid w:val="00170356"/>
    <w:rsid w:val="00174C29"/>
    <w:rsid w:val="00187F71"/>
    <w:rsid w:val="00191ECA"/>
    <w:rsid w:val="001A0471"/>
    <w:rsid w:val="001A317F"/>
    <w:rsid w:val="001A3DF2"/>
    <w:rsid w:val="001B7761"/>
    <w:rsid w:val="001C1478"/>
    <w:rsid w:val="001C2175"/>
    <w:rsid w:val="001C22F5"/>
    <w:rsid w:val="001C280A"/>
    <w:rsid w:val="001C6C6A"/>
    <w:rsid w:val="001D1206"/>
    <w:rsid w:val="001E1D39"/>
    <w:rsid w:val="001E2B40"/>
    <w:rsid w:val="001F125C"/>
    <w:rsid w:val="001F18AF"/>
    <w:rsid w:val="001F1F25"/>
    <w:rsid w:val="001F4463"/>
    <w:rsid w:val="002021A6"/>
    <w:rsid w:val="002103FD"/>
    <w:rsid w:val="00217992"/>
    <w:rsid w:val="00220B50"/>
    <w:rsid w:val="002278E9"/>
    <w:rsid w:val="00232A01"/>
    <w:rsid w:val="0023513A"/>
    <w:rsid w:val="00237122"/>
    <w:rsid w:val="00245518"/>
    <w:rsid w:val="00245778"/>
    <w:rsid w:val="00245D7C"/>
    <w:rsid w:val="002460A1"/>
    <w:rsid w:val="00246299"/>
    <w:rsid w:val="00252B12"/>
    <w:rsid w:val="002531AF"/>
    <w:rsid w:val="00253A54"/>
    <w:rsid w:val="002600F1"/>
    <w:rsid w:val="00260E5D"/>
    <w:rsid w:val="002658F7"/>
    <w:rsid w:val="00265F40"/>
    <w:rsid w:val="00273348"/>
    <w:rsid w:val="00274775"/>
    <w:rsid w:val="00276E15"/>
    <w:rsid w:val="00286181"/>
    <w:rsid w:val="00290A13"/>
    <w:rsid w:val="00292D16"/>
    <w:rsid w:val="0029538E"/>
    <w:rsid w:val="002A1114"/>
    <w:rsid w:val="002A4DBC"/>
    <w:rsid w:val="002A4F37"/>
    <w:rsid w:val="002B49FD"/>
    <w:rsid w:val="002B5B1A"/>
    <w:rsid w:val="002C4FDA"/>
    <w:rsid w:val="002D0164"/>
    <w:rsid w:val="002E256A"/>
    <w:rsid w:val="002E4420"/>
    <w:rsid w:val="002F1F64"/>
    <w:rsid w:val="002F62D8"/>
    <w:rsid w:val="002F6BB5"/>
    <w:rsid w:val="0030645D"/>
    <w:rsid w:val="0031033D"/>
    <w:rsid w:val="003137FE"/>
    <w:rsid w:val="00316C1E"/>
    <w:rsid w:val="003253BD"/>
    <w:rsid w:val="00325842"/>
    <w:rsid w:val="00335524"/>
    <w:rsid w:val="003374BA"/>
    <w:rsid w:val="00340909"/>
    <w:rsid w:val="00342F72"/>
    <w:rsid w:val="00344176"/>
    <w:rsid w:val="003443E3"/>
    <w:rsid w:val="00350790"/>
    <w:rsid w:val="003532AA"/>
    <w:rsid w:val="00362494"/>
    <w:rsid w:val="00362E11"/>
    <w:rsid w:val="0037238E"/>
    <w:rsid w:val="00373BE4"/>
    <w:rsid w:val="00376D27"/>
    <w:rsid w:val="00377B33"/>
    <w:rsid w:val="00382127"/>
    <w:rsid w:val="003870CA"/>
    <w:rsid w:val="003907A0"/>
    <w:rsid w:val="00391673"/>
    <w:rsid w:val="00394D1F"/>
    <w:rsid w:val="0039737B"/>
    <w:rsid w:val="00397F98"/>
    <w:rsid w:val="003A3F89"/>
    <w:rsid w:val="003A40CF"/>
    <w:rsid w:val="003A74E7"/>
    <w:rsid w:val="003B3738"/>
    <w:rsid w:val="003B6529"/>
    <w:rsid w:val="003C1660"/>
    <w:rsid w:val="003C5141"/>
    <w:rsid w:val="003C612E"/>
    <w:rsid w:val="003E1309"/>
    <w:rsid w:val="003E1729"/>
    <w:rsid w:val="003E1C2F"/>
    <w:rsid w:val="003E2387"/>
    <w:rsid w:val="003E365A"/>
    <w:rsid w:val="003E7A22"/>
    <w:rsid w:val="003E7A4F"/>
    <w:rsid w:val="003F3F11"/>
    <w:rsid w:val="003F78C9"/>
    <w:rsid w:val="00400A5B"/>
    <w:rsid w:val="00402990"/>
    <w:rsid w:val="00407660"/>
    <w:rsid w:val="0041271D"/>
    <w:rsid w:val="004237FB"/>
    <w:rsid w:val="00425F7E"/>
    <w:rsid w:val="0042757C"/>
    <w:rsid w:val="004275DB"/>
    <w:rsid w:val="004305CB"/>
    <w:rsid w:val="004358FF"/>
    <w:rsid w:val="00441416"/>
    <w:rsid w:val="0044385C"/>
    <w:rsid w:val="00450BB8"/>
    <w:rsid w:val="00451CDB"/>
    <w:rsid w:val="004539A7"/>
    <w:rsid w:val="00456A01"/>
    <w:rsid w:val="004577B0"/>
    <w:rsid w:val="0046081A"/>
    <w:rsid w:val="0047109E"/>
    <w:rsid w:val="00473F57"/>
    <w:rsid w:val="0047506F"/>
    <w:rsid w:val="004751DB"/>
    <w:rsid w:val="004A0D49"/>
    <w:rsid w:val="004A1DAE"/>
    <w:rsid w:val="004A4C0F"/>
    <w:rsid w:val="004B02C7"/>
    <w:rsid w:val="004B31B9"/>
    <w:rsid w:val="004B5A00"/>
    <w:rsid w:val="004B7112"/>
    <w:rsid w:val="004C0C7E"/>
    <w:rsid w:val="004C3057"/>
    <w:rsid w:val="004C6D5F"/>
    <w:rsid w:val="004D1206"/>
    <w:rsid w:val="004D5C97"/>
    <w:rsid w:val="004E1E23"/>
    <w:rsid w:val="004E2F09"/>
    <w:rsid w:val="004E40C5"/>
    <w:rsid w:val="004E5174"/>
    <w:rsid w:val="004F69AF"/>
    <w:rsid w:val="00502C00"/>
    <w:rsid w:val="00502C98"/>
    <w:rsid w:val="005043E2"/>
    <w:rsid w:val="00504495"/>
    <w:rsid w:val="00504993"/>
    <w:rsid w:val="00513F15"/>
    <w:rsid w:val="005244E5"/>
    <w:rsid w:val="0053102C"/>
    <w:rsid w:val="005329F4"/>
    <w:rsid w:val="00540174"/>
    <w:rsid w:val="005405BE"/>
    <w:rsid w:val="00544197"/>
    <w:rsid w:val="0054660F"/>
    <w:rsid w:val="00550D30"/>
    <w:rsid w:val="005514DD"/>
    <w:rsid w:val="005629BF"/>
    <w:rsid w:val="005657F2"/>
    <w:rsid w:val="00572C56"/>
    <w:rsid w:val="0057544D"/>
    <w:rsid w:val="0057595B"/>
    <w:rsid w:val="00575A6D"/>
    <w:rsid w:val="00575CAF"/>
    <w:rsid w:val="00581600"/>
    <w:rsid w:val="00583457"/>
    <w:rsid w:val="0058416E"/>
    <w:rsid w:val="00590EEE"/>
    <w:rsid w:val="00591C46"/>
    <w:rsid w:val="00592B49"/>
    <w:rsid w:val="0059417D"/>
    <w:rsid w:val="00596F9C"/>
    <w:rsid w:val="005A7A8D"/>
    <w:rsid w:val="005B6758"/>
    <w:rsid w:val="005C5403"/>
    <w:rsid w:val="005D2242"/>
    <w:rsid w:val="005D2890"/>
    <w:rsid w:val="005D33C3"/>
    <w:rsid w:val="005D4918"/>
    <w:rsid w:val="005D530A"/>
    <w:rsid w:val="005D6306"/>
    <w:rsid w:val="005D6648"/>
    <w:rsid w:val="005D6B52"/>
    <w:rsid w:val="005E4440"/>
    <w:rsid w:val="005E4631"/>
    <w:rsid w:val="005E5BB2"/>
    <w:rsid w:val="005F0234"/>
    <w:rsid w:val="005F1D06"/>
    <w:rsid w:val="00605BAC"/>
    <w:rsid w:val="00605EDA"/>
    <w:rsid w:val="00611F10"/>
    <w:rsid w:val="00612BC4"/>
    <w:rsid w:val="00614851"/>
    <w:rsid w:val="00615FAD"/>
    <w:rsid w:val="0061681F"/>
    <w:rsid w:val="0062237E"/>
    <w:rsid w:val="00624B4A"/>
    <w:rsid w:val="00630AA0"/>
    <w:rsid w:val="0063445B"/>
    <w:rsid w:val="006364BC"/>
    <w:rsid w:val="006370D2"/>
    <w:rsid w:val="00637DC6"/>
    <w:rsid w:val="00642D50"/>
    <w:rsid w:val="0064621A"/>
    <w:rsid w:val="00652EFB"/>
    <w:rsid w:val="006539CC"/>
    <w:rsid w:val="006557B5"/>
    <w:rsid w:val="006642D7"/>
    <w:rsid w:val="006711A5"/>
    <w:rsid w:val="00674097"/>
    <w:rsid w:val="0067743C"/>
    <w:rsid w:val="00686AA3"/>
    <w:rsid w:val="00694145"/>
    <w:rsid w:val="006A218E"/>
    <w:rsid w:val="006A4DCF"/>
    <w:rsid w:val="006A5FB2"/>
    <w:rsid w:val="006A72A1"/>
    <w:rsid w:val="006B241E"/>
    <w:rsid w:val="006B267B"/>
    <w:rsid w:val="006B482A"/>
    <w:rsid w:val="006B48BF"/>
    <w:rsid w:val="006B76E9"/>
    <w:rsid w:val="006C1B3B"/>
    <w:rsid w:val="006D5B49"/>
    <w:rsid w:val="006D7C43"/>
    <w:rsid w:val="006D7F45"/>
    <w:rsid w:val="006E19A6"/>
    <w:rsid w:val="006E47A7"/>
    <w:rsid w:val="006F5E20"/>
    <w:rsid w:val="007010F3"/>
    <w:rsid w:val="00711A9E"/>
    <w:rsid w:val="00715E93"/>
    <w:rsid w:val="00716C00"/>
    <w:rsid w:val="00722835"/>
    <w:rsid w:val="007254D8"/>
    <w:rsid w:val="0073375D"/>
    <w:rsid w:val="0074154D"/>
    <w:rsid w:val="00760B5B"/>
    <w:rsid w:val="00760E8F"/>
    <w:rsid w:val="00763107"/>
    <w:rsid w:val="00765999"/>
    <w:rsid w:val="00765CF0"/>
    <w:rsid w:val="0076666C"/>
    <w:rsid w:val="0076755B"/>
    <w:rsid w:val="00771928"/>
    <w:rsid w:val="00773607"/>
    <w:rsid w:val="00775373"/>
    <w:rsid w:val="00777328"/>
    <w:rsid w:val="00782B8B"/>
    <w:rsid w:val="007838EA"/>
    <w:rsid w:val="00785513"/>
    <w:rsid w:val="007906A1"/>
    <w:rsid w:val="00790EC7"/>
    <w:rsid w:val="007B2B33"/>
    <w:rsid w:val="007B3783"/>
    <w:rsid w:val="007B3AC9"/>
    <w:rsid w:val="007B6555"/>
    <w:rsid w:val="007B6A2E"/>
    <w:rsid w:val="007C37DB"/>
    <w:rsid w:val="007C4817"/>
    <w:rsid w:val="007C5617"/>
    <w:rsid w:val="007D2CDF"/>
    <w:rsid w:val="007D7FDE"/>
    <w:rsid w:val="007E72F3"/>
    <w:rsid w:val="007F247F"/>
    <w:rsid w:val="007F6F0A"/>
    <w:rsid w:val="008010A0"/>
    <w:rsid w:val="00802CB0"/>
    <w:rsid w:val="00804CD4"/>
    <w:rsid w:val="00811D29"/>
    <w:rsid w:val="00812478"/>
    <w:rsid w:val="008164C0"/>
    <w:rsid w:val="0082276F"/>
    <w:rsid w:val="00822EB3"/>
    <w:rsid w:val="00824574"/>
    <w:rsid w:val="00827549"/>
    <w:rsid w:val="00830F2D"/>
    <w:rsid w:val="008316F2"/>
    <w:rsid w:val="00832B9C"/>
    <w:rsid w:val="00837616"/>
    <w:rsid w:val="00842A3D"/>
    <w:rsid w:val="00845717"/>
    <w:rsid w:val="0086132F"/>
    <w:rsid w:val="00861360"/>
    <w:rsid w:val="00861D41"/>
    <w:rsid w:val="00870162"/>
    <w:rsid w:val="00871027"/>
    <w:rsid w:val="0087261A"/>
    <w:rsid w:val="00873573"/>
    <w:rsid w:val="0088168C"/>
    <w:rsid w:val="00883EA6"/>
    <w:rsid w:val="00887084"/>
    <w:rsid w:val="008925DB"/>
    <w:rsid w:val="008940C8"/>
    <w:rsid w:val="00895BC3"/>
    <w:rsid w:val="00896E90"/>
    <w:rsid w:val="008A6774"/>
    <w:rsid w:val="008B1F99"/>
    <w:rsid w:val="008B4AEE"/>
    <w:rsid w:val="008B5F3E"/>
    <w:rsid w:val="008B7DFC"/>
    <w:rsid w:val="008C17C6"/>
    <w:rsid w:val="008C742A"/>
    <w:rsid w:val="008D04E3"/>
    <w:rsid w:val="008D6AB2"/>
    <w:rsid w:val="008E2149"/>
    <w:rsid w:val="008E41A1"/>
    <w:rsid w:val="008F0D58"/>
    <w:rsid w:val="008F562B"/>
    <w:rsid w:val="009018A9"/>
    <w:rsid w:val="00901CBB"/>
    <w:rsid w:val="00903070"/>
    <w:rsid w:val="009246D7"/>
    <w:rsid w:val="00936C42"/>
    <w:rsid w:val="009467D8"/>
    <w:rsid w:val="0095359E"/>
    <w:rsid w:val="00956516"/>
    <w:rsid w:val="00964560"/>
    <w:rsid w:val="00964FEA"/>
    <w:rsid w:val="00965CBA"/>
    <w:rsid w:val="009739B7"/>
    <w:rsid w:val="009742C6"/>
    <w:rsid w:val="009762AB"/>
    <w:rsid w:val="00977219"/>
    <w:rsid w:val="00982277"/>
    <w:rsid w:val="00987B13"/>
    <w:rsid w:val="00997D8D"/>
    <w:rsid w:val="009A2799"/>
    <w:rsid w:val="009A2F52"/>
    <w:rsid w:val="009B4F3A"/>
    <w:rsid w:val="009B59B4"/>
    <w:rsid w:val="009B7CB0"/>
    <w:rsid w:val="009C7700"/>
    <w:rsid w:val="009D28A5"/>
    <w:rsid w:val="009D44EF"/>
    <w:rsid w:val="009D67F9"/>
    <w:rsid w:val="009F3DD7"/>
    <w:rsid w:val="00A01DE1"/>
    <w:rsid w:val="00A02A61"/>
    <w:rsid w:val="00A069ED"/>
    <w:rsid w:val="00A07760"/>
    <w:rsid w:val="00A12F48"/>
    <w:rsid w:val="00A2060B"/>
    <w:rsid w:val="00A30E4C"/>
    <w:rsid w:val="00A3332A"/>
    <w:rsid w:val="00A34334"/>
    <w:rsid w:val="00A35A17"/>
    <w:rsid w:val="00A43272"/>
    <w:rsid w:val="00A43C4B"/>
    <w:rsid w:val="00A605B8"/>
    <w:rsid w:val="00A627A3"/>
    <w:rsid w:val="00A63171"/>
    <w:rsid w:val="00A6644E"/>
    <w:rsid w:val="00A705F7"/>
    <w:rsid w:val="00A70985"/>
    <w:rsid w:val="00A71263"/>
    <w:rsid w:val="00A74BDE"/>
    <w:rsid w:val="00A77009"/>
    <w:rsid w:val="00A8077B"/>
    <w:rsid w:val="00A80A57"/>
    <w:rsid w:val="00A85489"/>
    <w:rsid w:val="00A859C8"/>
    <w:rsid w:val="00A87FF5"/>
    <w:rsid w:val="00A90FBC"/>
    <w:rsid w:val="00AA417A"/>
    <w:rsid w:val="00AC3132"/>
    <w:rsid w:val="00AC319F"/>
    <w:rsid w:val="00AC75C6"/>
    <w:rsid w:val="00AD3782"/>
    <w:rsid w:val="00AD4F1E"/>
    <w:rsid w:val="00AE1099"/>
    <w:rsid w:val="00AE1AEF"/>
    <w:rsid w:val="00AF0147"/>
    <w:rsid w:val="00AF2928"/>
    <w:rsid w:val="00AF72DF"/>
    <w:rsid w:val="00B0015A"/>
    <w:rsid w:val="00B00EDA"/>
    <w:rsid w:val="00B00F1E"/>
    <w:rsid w:val="00B0570C"/>
    <w:rsid w:val="00B06E35"/>
    <w:rsid w:val="00B1031C"/>
    <w:rsid w:val="00B1051B"/>
    <w:rsid w:val="00B1100C"/>
    <w:rsid w:val="00B11E54"/>
    <w:rsid w:val="00B14D19"/>
    <w:rsid w:val="00B15F5F"/>
    <w:rsid w:val="00B2043F"/>
    <w:rsid w:val="00B24CCC"/>
    <w:rsid w:val="00B31B38"/>
    <w:rsid w:val="00B351AE"/>
    <w:rsid w:val="00B45EA7"/>
    <w:rsid w:val="00B53F37"/>
    <w:rsid w:val="00B578C6"/>
    <w:rsid w:val="00B61FA1"/>
    <w:rsid w:val="00B659A3"/>
    <w:rsid w:val="00B70EC8"/>
    <w:rsid w:val="00B7633E"/>
    <w:rsid w:val="00B76EBF"/>
    <w:rsid w:val="00B83511"/>
    <w:rsid w:val="00B83E59"/>
    <w:rsid w:val="00B93FCF"/>
    <w:rsid w:val="00B95E60"/>
    <w:rsid w:val="00BA1157"/>
    <w:rsid w:val="00BA61CC"/>
    <w:rsid w:val="00BC09F8"/>
    <w:rsid w:val="00BC479A"/>
    <w:rsid w:val="00BC76FA"/>
    <w:rsid w:val="00BD073D"/>
    <w:rsid w:val="00BD15E9"/>
    <w:rsid w:val="00BD1AC3"/>
    <w:rsid w:val="00BD2CF4"/>
    <w:rsid w:val="00BE6B2F"/>
    <w:rsid w:val="00BF04A1"/>
    <w:rsid w:val="00BF5E3D"/>
    <w:rsid w:val="00C1080B"/>
    <w:rsid w:val="00C15C6F"/>
    <w:rsid w:val="00C17089"/>
    <w:rsid w:val="00C2191D"/>
    <w:rsid w:val="00C254A4"/>
    <w:rsid w:val="00C4086E"/>
    <w:rsid w:val="00C41B43"/>
    <w:rsid w:val="00C42BA4"/>
    <w:rsid w:val="00C43E14"/>
    <w:rsid w:val="00C51AA2"/>
    <w:rsid w:val="00C56104"/>
    <w:rsid w:val="00C5682D"/>
    <w:rsid w:val="00C632F8"/>
    <w:rsid w:val="00C639D4"/>
    <w:rsid w:val="00C66FFB"/>
    <w:rsid w:val="00C74DCA"/>
    <w:rsid w:val="00C75F75"/>
    <w:rsid w:val="00C91719"/>
    <w:rsid w:val="00C9575E"/>
    <w:rsid w:val="00CA0644"/>
    <w:rsid w:val="00CA1903"/>
    <w:rsid w:val="00CA485F"/>
    <w:rsid w:val="00CA6085"/>
    <w:rsid w:val="00CC53C4"/>
    <w:rsid w:val="00CF44B3"/>
    <w:rsid w:val="00D058F1"/>
    <w:rsid w:val="00D06EA6"/>
    <w:rsid w:val="00D11255"/>
    <w:rsid w:val="00D12BFC"/>
    <w:rsid w:val="00D14996"/>
    <w:rsid w:val="00D20C62"/>
    <w:rsid w:val="00D20DEA"/>
    <w:rsid w:val="00D236BD"/>
    <w:rsid w:val="00D24E10"/>
    <w:rsid w:val="00D25A5D"/>
    <w:rsid w:val="00D328C5"/>
    <w:rsid w:val="00D35256"/>
    <w:rsid w:val="00D41A6F"/>
    <w:rsid w:val="00D46FBC"/>
    <w:rsid w:val="00D5377B"/>
    <w:rsid w:val="00D552F1"/>
    <w:rsid w:val="00D570CC"/>
    <w:rsid w:val="00D570D8"/>
    <w:rsid w:val="00D652AA"/>
    <w:rsid w:val="00D7043D"/>
    <w:rsid w:val="00D70C26"/>
    <w:rsid w:val="00D7292D"/>
    <w:rsid w:val="00D73757"/>
    <w:rsid w:val="00D73C4A"/>
    <w:rsid w:val="00D74461"/>
    <w:rsid w:val="00D87045"/>
    <w:rsid w:val="00D92128"/>
    <w:rsid w:val="00DA5353"/>
    <w:rsid w:val="00DA5419"/>
    <w:rsid w:val="00DA588B"/>
    <w:rsid w:val="00DA6DA4"/>
    <w:rsid w:val="00DA7B62"/>
    <w:rsid w:val="00DB0244"/>
    <w:rsid w:val="00DB1646"/>
    <w:rsid w:val="00DB78AE"/>
    <w:rsid w:val="00DC23C5"/>
    <w:rsid w:val="00DC3F1C"/>
    <w:rsid w:val="00DC4322"/>
    <w:rsid w:val="00DC683B"/>
    <w:rsid w:val="00DD1A9D"/>
    <w:rsid w:val="00DD3918"/>
    <w:rsid w:val="00DD43D1"/>
    <w:rsid w:val="00DD4561"/>
    <w:rsid w:val="00DD45EC"/>
    <w:rsid w:val="00DD5668"/>
    <w:rsid w:val="00DE1264"/>
    <w:rsid w:val="00DE2AF1"/>
    <w:rsid w:val="00DE4018"/>
    <w:rsid w:val="00DE4959"/>
    <w:rsid w:val="00DE619B"/>
    <w:rsid w:val="00DF1668"/>
    <w:rsid w:val="00DF226D"/>
    <w:rsid w:val="00DF41FC"/>
    <w:rsid w:val="00DF5BB4"/>
    <w:rsid w:val="00E0053C"/>
    <w:rsid w:val="00E008AB"/>
    <w:rsid w:val="00E01E7E"/>
    <w:rsid w:val="00E06F20"/>
    <w:rsid w:val="00E10B47"/>
    <w:rsid w:val="00E1102D"/>
    <w:rsid w:val="00E114B0"/>
    <w:rsid w:val="00E11A77"/>
    <w:rsid w:val="00E13E8F"/>
    <w:rsid w:val="00E20B7A"/>
    <w:rsid w:val="00E248D3"/>
    <w:rsid w:val="00E34C5E"/>
    <w:rsid w:val="00E34D82"/>
    <w:rsid w:val="00E358C8"/>
    <w:rsid w:val="00E37479"/>
    <w:rsid w:val="00E37C11"/>
    <w:rsid w:val="00E42526"/>
    <w:rsid w:val="00E45C6D"/>
    <w:rsid w:val="00E47911"/>
    <w:rsid w:val="00E506CA"/>
    <w:rsid w:val="00E56618"/>
    <w:rsid w:val="00E636F2"/>
    <w:rsid w:val="00E647D5"/>
    <w:rsid w:val="00E7076F"/>
    <w:rsid w:val="00E721D8"/>
    <w:rsid w:val="00E72E2E"/>
    <w:rsid w:val="00E7368D"/>
    <w:rsid w:val="00E73A6D"/>
    <w:rsid w:val="00E76B99"/>
    <w:rsid w:val="00E8009A"/>
    <w:rsid w:val="00E817A3"/>
    <w:rsid w:val="00E849A3"/>
    <w:rsid w:val="00E870FE"/>
    <w:rsid w:val="00E93602"/>
    <w:rsid w:val="00E96B55"/>
    <w:rsid w:val="00EA33C1"/>
    <w:rsid w:val="00EA4661"/>
    <w:rsid w:val="00EA7BDD"/>
    <w:rsid w:val="00EB1306"/>
    <w:rsid w:val="00EB1318"/>
    <w:rsid w:val="00EB193B"/>
    <w:rsid w:val="00EB4126"/>
    <w:rsid w:val="00EC4328"/>
    <w:rsid w:val="00ED0094"/>
    <w:rsid w:val="00ED28EB"/>
    <w:rsid w:val="00EE132E"/>
    <w:rsid w:val="00EE17D4"/>
    <w:rsid w:val="00EE23A3"/>
    <w:rsid w:val="00EE50E9"/>
    <w:rsid w:val="00EE6580"/>
    <w:rsid w:val="00F03E37"/>
    <w:rsid w:val="00F04D1E"/>
    <w:rsid w:val="00F05660"/>
    <w:rsid w:val="00F1158F"/>
    <w:rsid w:val="00F1375A"/>
    <w:rsid w:val="00F15C48"/>
    <w:rsid w:val="00F30423"/>
    <w:rsid w:val="00F32AFF"/>
    <w:rsid w:val="00F32FED"/>
    <w:rsid w:val="00F366F7"/>
    <w:rsid w:val="00F37560"/>
    <w:rsid w:val="00F420E8"/>
    <w:rsid w:val="00F44495"/>
    <w:rsid w:val="00F467E2"/>
    <w:rsid w:val="00F51433"/>
    <w:rsid w:val="00F57D18"/>
    <w:rsid w:val="00F62B07"/>
    <w:rsid w:val="00F6754A"/>
    <w:rsid w:val="00F71337"/>
    <w:rsid w:val="00F71EB2"/>
    <w:rsid w:val="00F81CA7"/>
    <w:rsid w:val="00F8298A"/>
    <w:rsid w:val="00F8464D"/>
    <w:rsid w:val="00F87A17"/>
    <w:rsid w:val="00F9179F"/>
    <w:rsid w:val="00F95B4F"/>
    <w:rsid w:val="00F95CC1"/>
    <w:rsid w:val="00FA56A1"/>
    <w:rsid w:val="00FB5746"/>
    <w:rsid w:val="00FC1734"/>
    <w:rsid w:val="00FC1C8A"/>
    <w:rsid w:val="00FC34CC"/>
    <w:rsid w:val="00FC4E61"/>
    <w:rsid w:val="00FD02CC"/>
    <w:rsid w:val="00FD2DF8"/>
    <w:rsid w:val="00FD4B52"/>
    <w:rsid w:val="00FE0C0A"/>
    <w:rsid w:val="00FE0C9E"/>
    <w:rsid w:val="00FE30B0"/>
    <w:rsid w:val="00FE586A"/>
    <w:rsid w:val="00FF0656"/>
    <w:rsid w:val="00FF271B"/>
    <w:rsid w:val="00FF3003"/>
    <w:rsid w:val="00FF3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7C26F-BFDC-417B-93E2-C721353C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s-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24574"/>
    <w:pPr>
      <w:spacing w:before="100" w:beforeAutospacing="1" w:after="100" w:afterAutospacing="1" w:line="240" w:lineRule="auto"/>
    </w:pPr>
    <w:rPr>
      <w:rFonts w:eastAsia="Times New Roman" w:cs="Arial"/>
      <w:color w:val="000000"/>
      <w:sz w:val="24"/>
      <w:szCs w:val="24"/>
      <w:lang w:eastAsia="es-ES"/>
    </w:rPr>
  </w:style>
  <w:style w:type="paragraph" w:styleId="Textodeglobo">
    <w:name w:val="Balloon Text"/>
    <w:basedOn w:val="Normal"/>
    <w:link w:val="TextodegloboCar"/>
    <w:uiPriority w:val="99"/>
    <w:semiHidden/>
    <w:unhideWhenUsed/>
    <w:rsid w:val="0082457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574"/>
    <w:rPr>
      <w:rFonts w:ascii="Tahoma" w:hAnsi="Tahoma" w:cs="Tahoma"/>
      <w:sz w:val="16"/>
      <w:szCs w:val="16"/>
    </w:rPr>
  </w:style>
  <w:style w:type="character" w:styleId="Hipervnculo">
    <w:name w:val="Hyperlink"/>
    <w:basedOn w:val="Fuentedeprrafopredeter"/>
    <w:uiPriority w:val="99"/>
    <w:semiHidden/>
    <w:unhideWhenUsed/>
    <w:rsid w:val="00824574"/>
    <w:rPr>
      <w:strike w:val="0"/>
      <w:dstrike w:val="0"/>
      <w:color w:val="008DB0"/>
      <w:u w:val="none"/>
      <w:effect w:val="none"/>
    </w:rPr>
  </w:style>
  <w:style w:type="table" w:styleId="Tablaconcuadrcula">
    <w:name w:val="Table Grid"/>
    <w:basedOn w:val="Tablanormal"/>
    <w:uiPriority w:val="59"/>
    <w:rsid w:val="002F62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0443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 GARCIA CONTRERAS</dc:creator>
  <cp:keywords/>
  <dc:description/>
  <cp:lastModifiedBy>ZAIRA GARCIA CONTRERAS</cp:lastModifiedBy>
  <cp:revision>2</cp:revision>
  <dcterms:created xsi:type="dcterms:W3CDTF">2018-06-18T21:17:00Z</dcterms:created>
  <dcterms:modified xsi:type="dcterms:W3CDTF">2018-06-18T21:17:00Z</dcterms:modified>
</cp:coreProperties>
</file>