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31" w:rsidRPr="000129AE" w:rsidRDefault="000129AE" w:rsidP="000129AE">
      <w:pPr>
        <w:spacing w:after="0"/>
        <w:jc w:val="center"/>
        <w:rPr>
          <w:rFonts w:ascii="Times New Roman" w:hAnsi="Times New Roman" w:cs="Times New Roman"/>
          <w:b/>
          <w:sz w:val="28"/>
          <w:lang w:val="es-MX"/>
        </w:rPr>
      </w:pPr>
      <w:r w:rsidRPr="000129AE">
        <w:rPr>
          <w:rFonts w:ascii="Times New Roman" w:hAnsi="Times New Roman" w:cs="Times New Roman"/>
          <w:b/>
          <w:sz w:val="28"/>
          <w:lang w:val="es-MX"/>
        </w:rPr>
        <w:t xml:space="preserve">ESCUELA NORMAL DE EDUCACIÓN PREESCOLAR </w:t>
      </w:r>
    </w:p>
    <w:p w:rsidR="000129AE" w:rsidRPr="000129AE" w:rsidRDefault="000129AE" w:rsidP="000129AE">
      <w:pPr>
        <w:spacing w:after="0"/>
        <w:jc w:val="center"/>
        <w:rPr>
          <w:rFonts w:ascii="Times New Roman" w:hAnsi="Times New Roman" w:cs="Times New Roman"/>
          <w:b/>
          <w:sz w:val="28"/>
          <w:lang w:val="es-MX"/>
        </w:rPr>
      </w:pPr>
      <w:r w:rsidRPr="000129AE">
        <w:rPr>
          <w:rFonts w:ascii="Times New Roman" w:hAnsi="Times New Roman" w:cs="Times New Roman"/>
          <w:b/>
          <w:sz w:val="28"/>
          <w:lang w:val="es-MX"/>
        </w:rPr>
        <w:t>LICENCIATURA EN EDUCACIÓN PREESCOLAR</w:t>
      </w:r>
    </w:p>
    <w:p w:rsidR="000129AE" w:rsidRPr="000129AE" w:rsidRDefault="000129AE" w:rsidP="000129AE">
      <w:pPr>
        <w:spacing w:after="0"/>
        <w:jc w:val="center"/>
        <w:rPr>
          <w:rFonts w:ascii="Times New Roman" w:hAnsi="Times New Roman" w:cs="Times New Roman"/>
          <w:b/>
          <w:sz w:val="28"/>
          <w:lang w:val="es-MX"/>
        </w:rPr>
      </w:pPr>
      <w:r w:rsidRPr="000129AE">
        <w:rPr>
          <w:rFonts w:ascii="Times New Roman" w:hAnsi="Times New Roman" w:cs="Times New Roman"/>
          <w:b/>
          <w:sz w:val="28"/>
          <w:lang w:val="es-MX"/>
        </w:rPr>
        <w:t xml:space="preserve">CICLO ESCOLAR </w:t>
      </w:r>
    </w:p>
    <w:p w:rsidR="000129AE" w:rsidRPr="000129AE" w:rsidRDefault="000129AE" w:rsidP="000129AE">
      <w:pPr>
        <w:spacing w:after="0"/>
        <w:jc w:val="center"/>
        <w:rPr>
          <w:rFonts w:ascii="Times New Roman" w:hAnsi="Times New Roman" w:cs="Times New Roman"/>
          <w:b/>
          <w:sz w:val="28"/>
          <w:lang w:val="es-MX"/>
        </w:rPr>
      </w:pPr>
      <w:r w:rsidRPr="000129AE">
        <w:rPr>
          <w:rFonts w:ascii="Times New Roman" w:hAnsi="Times New Roman" w:cs="Times New Roman"/>
          <w:b/>
          <w:sz w:val="28"/>
          <w:lang w:val="es-MX"/>
        </w:rPr>
        <w:t>2019-2020</w:t>
      </w:r>
    </w:p>
    <w:p w:rsidR="000129AE" w:rsidRDefault="000129AE" w:rsidP="000129AE">
      <w:pPr>
        <w:spacing w:after="0"/>
        <w:jc w:val="center"/>
        <w:rPr>
          <w:rFonts w:ascii="Times New Roman" w:hAnsi="Times New Roman" w:cs="Times New Roman"/>
          <w:b/>
          <w:sz w:val="28"/>
          <w:lang w:val="es-MX"/>
        </w:rPr>
      </w:pPr>
    </w:p>
    <w:p w:rsidR="000129AE" w:rsidRDefault="000129AE" w:rsidP="000129AE">
      <w:pPr>
        <w:spacing w:after="0"/>
        <w:jc w:val="center"/>
        <w:rPr>
          <w:rFonts w:ascii="Times New Roman" w:hAnsi="Times New Roman" w:cs="Times New Roman"/>
          <w:b/>
          <w:sz w:val="28"/>
          <w:lang w:val="es-MX"/>
        </w:rPr>
      </w:pPr>
      <w:r>
        <w:rPr>
          <w:rFonts w:ascii="Times New Roman" w:hAnsi="Times New Roman" w:cs="Times New Roman"/>
          <w:b/>
          <w:noProof/>
          <w:sz w:val="28"/>
          <w:lang w:eastAsia="es-419"/>
        </w:rPr>
        <w:drawing>
          <wp:inline distT="0" distB="0" distL="0" distR="0">
            <wp:extent cx="1162050"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rotWithShape="1">
                    <a:blip r:embed="rId5">
                      <a:extLst>
                        <a:ext uri="{28A0092B-C50C-407E-A947-70E740481C1C}">
                          <a14:useLocalDpi xmlns:a14="http://schemas.microsoft.com/office/drawing/2010/main" val="0"/>
                        </a:ext>
                      </a:extLst>
                    </a:blip>
                    <a:srcRect l="21539" r="15897"/>
                    <a:stretch/>
                  </pic:blipFill>
                  <pic:spPr bwMode="auto">
                    <a:xfrm>
                      <a:off x="0" y="0"/>
                      <a:ext cx="1162050" cy="1381125"/>
                    </a:xfrm>
                    <a:prstGeom prst="rect">
                      <a:avLst/>
                    </a:prstGeom>
                    <a:ln>
                      <a:noFill/>
                    </a:ln>
                    <a:extLst>
                      <a:ext uri="{53640926-AAD7-44D8-BBD7-CCE9431645EC}">
                        <a14:shadowObscured xmlns:a14="http://schemas.microsoft.com/office/drawing/2010/main"/>
                      </a:ext>
                    </a:extLst>
                  </pic:spPr>
                </pic:pic>
              </a:graphicData>
            </a:graphic>
          </wp:inline>
        </w:drawing>
      </w:r>
    </w:p>
    <w:p w:rsidR="000129AE" w:rsidRDefault="000129AE" w:rsidP="000129AE">
      <w:pPr>
        <w:spacing w:after="0"/>
        <w:jc w:val="center"/>
        <w:rPr>
          <w:rFonts w:ascii="Times New Roman" w:hAnsi="Times New Roman" w:cs="Times New Roman"/>
          <w:b/>
          <w:sz w:val="28"/>
          <w:lang w:val="es-MX"/>
        </w:rPr>
      </w:pPr>
    </w:p>
    <w:p w:rsidR="000129AE" w:rsidRPr="000129AE" w:rsidRDefault="000129AE" w:rsidP="000129AE">
      <w:pPr>
        <w:spacing w:after="0"/>
        <w:jc w:val="center"/>
        <w:rPr>
          <w:rFonts w:ascii="Times New Roman" w:hAnsi="Times New Roman" w:cs="Times New Roman"/>
          <w:b/>
          <w:sz w:val="28"/>
          <w:lang w:val="es-MX"/>
        </w:rPr>
      </w:pPr>
    </w:p>
    <w:p w:rsidR="000129AE" w:rsidRDefault="000129AE" w:rsidP="000129AE">
      <w:pPr>
        <w:spacing w:after="0"/>
        <w:jc w:val="center"/>
        <w:rPr>
          <w:rFonts w:ascii="Times New Roman" w:hAnsi="Times New Roman" w:cs="Times New Roman"/>
          <w:b/>
          <w:sz w:val="28"/>
          <w:lang w:val="es-MX"/>
        </w:rPr>
      </w:pPr>
      <w:r>
        <w:rPr>
          <w:rFonts w:ascii="Times New Roman" w:hAnsi="Times New Roman" w:cs="Times New Roman"/>
          <w:b/>
          <w:sz w:val="28"/>
          <w:lang w:val="es-MX"/>
        </w:rPr>
        <w:t>Trabajo docente e innovación</w:t>
      </w:r>
    </w:p>
    <w:p w:rsidR="000129AE" w:rsidRDefault="000129AE" w:rsidP="000129AE">
      <w:pPr>
        <w:spacing w:after="0"/>
        <w:jc w:val="center"/>
        <w:rPr>
          <w:rFonts w:ascii="Times New Roman" w:hAnsi="Times New Roman" w:cs="Times New Roman"/>
          <w:sz w:val="28"/>
          <w:lang w:val="es-MX"/>
        </w:rPr>
      </w:pPr>
      <w:r>
        <w:rPr>
          <w:rFonts w:ascii="Times New Roman" w:hAnsi="Times New Roman" w:cs="Times New Roman"/>
          <w:b/>
          <w:sz w:val="28"/>
          <w:lang w:val="es-MX"/>
        </w:rPr>
        <w:t xml:space="preserve">Mtra. </w:t>
      </w:r>
      <w:r>
        <w:rPr>
          <w:rFonts w:ascii="Times New Roman" w:hAnsi="Times New Roman" w:cs="Times New Roman"/>
          <w:sz w:val="28"/>
          <w:lang w:val="es-MX"/>
        </w:rPr>
        <w:t>Isabel del Carmen Aguirre Ramos</w:t>
      </w:r>
    </w:p>
    <w:p w:rsidR="000129AE" w:rsidRDefault="000129AE" w:rsidP="000129AE">
      <w:pPr>
        <w:spacing w:after="0"/>
        <w:jc w:val="center"/>
        <w:rPr>
          <w:rFonts w:ascii="Times New Roman" w:hAnsi="Times New Roman" w:cs="Times New Roman"/>
          <w:sz w:val="28"/>
          <w:lang w:val="es-MX"/>
        </w:rPr>
      </w:pPr>
      <w:r w:rsidRPr="000129AE">
        <w:rPr>
          <w:rFonts w:ascii="Times New Roman" w:hAnsi="Times New Roman" w:cs="Times New Roman"/>
          <w:b/>
          <w:sz w:val="28"/>
          <w:lang w:val="es-MX"/>
        </w:rPr>
        <w:t>Alumna.</w:t>
      </w:r>
      <w:r>
        <w:rPr>
          <w:rFonts w:ascii="Times New Roman" w:hAnsi="Times New Roman" w:cs="Times New Roman"/>
          <w:sz w:val="28"/>
          <w:lang w:val="es-MX"/>
        </w:rPr>
        <w:t xml:space="preserve"> Natalia Elizabeth Rodríguez Ramos</w:t>
      </w:r>
    </w:p>
    <w:p w:rsidR="00955321" w:rsidRDefault="000129AE" w:rsidP="000129AE">
      <w:pPr>
        <w:spacing w:after="0"/>
        <w:rPr>
          <w:rFonts w:ascii="Times New Roman" w:hAnsi="Times New Roman" w:cs="Times New Roman"/>
          <w:sz w:val="28"/>
          <w:lang w:val="es-MX"/>
        </w:rPr>
      </w:pPr>
      <w:r>
        <w:rPr>
          <w:rFonts w:ascii="Times New Roman" w:hAnsi="Times New Roman" w:cs="Times New Roman"/>
          <w:sz w:val="28"/>
          <w:lang w:val="es-MX"/>
        </w:rPr>
        <w:t xml:space="preserve">                                                Grado: 3°A    N. L17</w:t>
      </w:r>
    </w:p>
    <w:p w:rsidR="00955321" w:rsidRDefault="00955321" w:rsidP="000129AE">
      <w:pPr>
        <w:spacing w:after="0"/>
        <w:rPr>
          <w:rFonts w:ascii="Times New Roman" w:hAnsi="Times New Roman" w:cs="Times New Roman"/>
          <w:sz w:val="28"/>
          <w:lang w:val="es-MX"/>
        </w:rPr>
      </w:pPr>
    </w:p>
    <w:p w:rsidR="00955321" w:rsidRDefault="00955321" w:rsidP="00955321">
      <w:pPr>
        <w:spacing w:after="0"/>
        <w:jc w:val="center"/>
        <w:rPr>
          <w:rFonts w:ascii="Times New Roman" w:hAnsi="Times New Roman" w:cs="Times New Roman"/>
          <w:b/>
          <w:sz w:val="28"/>
          <w:lang w:val="es-MX"/>
        </w:rPr>
      </w:pPr>
      <w:r w:rsidRPr="00955321">
        <w:rPr>
          <w:rFonts w:ascii="Times New Roman" w:hAnsi="Times New Roman" w:cs="Times New Roman"/>
          <w:b/>
          <w:sz w:val="28"/>
          <w:lang w:val="es-MX"/>
        </w:rPr>
        <w:t>“DIAGNOSTICO DEL JARDIN DE NIÑOS”</w:t>
      </w:r>
    </w:p>
    <w:p w:rsidR="00955321" w:rsidRDefault="00955321" w:rsidP="00955321">
      <w:pPr>
        <w:spacing w:after="0"/>
        <w:jc w:val="center"/>
        <w:rPr>
          <w:rFonts w:ascii="Times New Roman" w:hAnsi="Times New Roman" w:cs="Times New Roman"/>
          <w:b/>
          <w:sz w:val="28"/>
          <w:lang w:val="es-MX"/>
        </w:rPr>
      </w:pPr>
    </w:p>
    <w:p w:rsidR="00955321" w:rsidRPr="00955321" w:rsidRDefault="00955321" w:rsidP="00955321">
      <w:pPr>
        <w:spacing w:after="0"/>
        <w:rPr>
          <w:rFonts w:ascii="Times New Roman" w:hAnsi="Times New Roman" w:cs="Times New Roman"/>
          <w:b/>
          <w:sz w:val="28"/>
          <w:lang w:val="es-MX"/>
        </w:rPr>
      </w:pPr>
      <w:r w:rsidRPr="00955321">
        <w:rPr>
          <w:rFonts w:ascii="Times New Roman" w:hAnsi="Times New Roman" w:cs="Times New Roman"/>
          <w:b/>
          <w:sz w:val="28"/>
          <w:lang w:val="es-MX"/>
        </w:rPr>
        <w:t>Unidad I. Innovar para la mejora en el trabajo docente: focalizar, diagnosticar y diseñar.</w:t>
      </w:r>
    </w:p>
    <w:p w:rsidR="00955321" w:rsidRDefault="00955321" w:rsidP="00955321">
      <w:pPr>
        <w:spacing w:after="0"/>
        <w:rPr>
          <w:rFonts w:ascii="Times New Roman" w:hAnsi="Times New Roman" w:cs="Times New Roman"/>
          <w:sz w:val="28"/>
          <w:lang w:val="es-MX"/>
        </w:rPr>
      </w:pPr>
    </w:p>
    <w:p w:rsidR="00955321" w:rsidRPr="00955321" w:rsidRDefault="00955321" w:rsidP="00955321">
      <w:pPr>
        <w:spacing w:after="0"/>
        <w:rPr>
          <w:rFonts w:ascii="Times New Roman" w:hAnsi="Times New Roman" w:cs="Times New Roman"/>
          <w:b/>
          <w:sz w:val="28"/>
          <w:lang w:val="es-MX"/>
        </w:rPr>
      </w:pPr>
      <w:r w:rsidRPr="00955321">
        <w:rPr>
          <w:rFonts w:ascii="Times New Roman" w:hAnsi="Times New Roman" w:cs="Times New Roman"/>
          <w:b/>
          <w:sz w:val="28"/>
          <w:lang w:val="es-MX"/>
        </w:rPr>
        <w:t xml:space="preserve">Competencias </w:t>
      </w:r>
    </w:p>
    <w:p w:rsidR="00955321" w:rsidRPr="00955321" w:rsidRDefault="00955321" w:rsidP="00955321">
      <w:pPr>
        <w:pStyle w:val="Prrafodelista"/>
        <w:numPr>
          <w:ilvl w:val="0"/>
          <w:numId w:val="2"/>
        </w:numPr>
        <w:spacing w:after="0"/>
        <w:rPr>
          <w:rFonts w:ascii="Times New Roman" w:hAnsi="Times New Roman" w:cs="Times New Roman"/>
          <w:sz w:val="28"/>
          <w:lang w:val="es-MX"/>
        </w:rPr>
      </w:pPr>
      <w:r w:rsidRPr="00955321">
        <w:rPr>
          <w:rFonts w:ascii="Times New Roman" w:hAnsi="Times New Roman" w:cs="Times New Roman"/>
          <w:sz w:val="28"/>
          <w:lang w:val="es-MX"/>
        </w:rPr>
        <w:t>Realiza diagnósticos de los intereses, motivaciones y necesidades formativas de los alumnos para organizar las actividades de aprendizaje.</w:t>
      </w:r>
    </w:p>
    <w:p w:rsidR="00955321" w:rsidRPr="00955321" w:rsidRDefault="00955321" w:rsidP="00955321">
      <w:pPr>
        <w:pStyle w:val="Prrafodelista"/>
        <w:numPr>
          <w:ilvl w:val="0"/>
          <w:numId w:val="2"/>
        </w:numPr>
        <w:spacing w:after="0"/>
        <w:rPr>
          <w:rFonts w:ascii="Times New Roman" w:hAnsi="Times New Roman" w:cs="Times New Roman"/>
          <w:sz w:val="28"/>
          <w:lang w:val="es-MX"/>
        </w:rPr>
      </w:pPr>
      <w:r w:rsidRPr="00955321">
        <w:rPr>
          <w:rFonts w:ascii="Times New Roman" w:hAnsi="Times New Roman" w:cs="Times New Roman"/>
          <w:sz w:val="28"/>
          <w:lang w:val="es-MX"/>
        </w:rPr>
        <w:t>Diseña estrategias de aprendizaje basadas en las tecnologías de la información y la comunicación de acuerdo con el nivel escolar de los alumnos.</w:t>
      </w:r>
    </w:p>
    <w:p w:rsidR="00955321" w:rsidRPr="00955321" w:rsidRDefault="00955321" w:rsidP="00955321">
      <w:pPr>
        <w:pStyle w:val="Prrafodelista"/>
        <w:numPr>
          <w:ilvl w:val="0"/>
          <w:numId w:val="2"/>
        </w:numPr>
        <w:spacing w:after="0"/>
        <w:rPr>
          <w:rFonts w:ascii="Times New Roman" w:hAnsi="Times New Roman" w:cs="Times New Roman"/>
          <w:sz w:val="28"/>
          <w:lang w:val="es-MX"/>
        </w:rPr>
      </w:pPr>
      <w:r w:rsidRPr="00955321">
        <w:rPr>
          <w:rFonts w:ascii="Times New Roman" w:hAnsi="Times New Roman" w:cs="Times New Roman"/>
          <w:sz w:val="28"/>
          <w:lang w:val="es-MX"/>
        </w:rPr>
        <w:t>Aplica metodologías situadas para el aprendizaje significativo de las diferentes áreas disciplinarias o campos formativos.</w:t>
      </w:r>
    </w:p>
    <w:p w:rsidR="00955321" w:rsidRPr="00955321" w:rsidRDefault="00955321" w:rsidP="00955321">
      <w:pPr>
        <w:pStyle w:val="Prrafodelista"/>
        <w:numPr>
          <w:ilvl w:val="0"/>
          <w:numId w:val="2"/>
        </w:numPr>
        <w:spacing w:after="0"/>
        <w:rPr>
          <w:rFonts w:ascii="Times New Roman" w:hAnsi="Times New Roman" w:cs="Times New Roman"/>
          <w:sz w:val="28"/>
          <w:lang w:val="es-MX"/>
        </w:rPr>
      </w:pPr>
      <w:r w:rsidRPr="00955321">
        <w:rPr>
          <w:rFonts w:ascii="Times New Roman" w:hAnsi="Times New Roman" w:cs="Times New Roman"/>
          <w:sz w:val="28"/>
          <w:lang w:val="es-MX"/>
        </w:rPr>
        <w:t xml:space="preserve">Utiliza la evaluación diagnóstica, formativa y </w:t>
      </w:r>
      <w:proofErr w:type="spellStart"/>
      <w:r w:rsidRPr="00955321">
        <w:rPr>
          <w:rFonts w:ascii="Times New Roman" w:hAnsi="Times New Roman" w:cs="Times New Roman"/>
          <w:sz w:val="28"/>
          <w:lang w:val="es-MX"/>
        </w:rPr>
        <w:t>sumativa</w:t>
      </w:r>
      <w:proofErr w:type="spellEnd"/>
      <w:r w:rsidRPr="00955321">
        <w:rPr>
          <w:rFonts w:ascii="Times New Roman" w:hAnsi="Times New Roman" w:cs="Times New Roman"/>
          <w:sz w:val="28"/>
          <w:lang w:val="es-MX"/>
        </w:rPr>
        <w:t>, de carácter cuantitativo y cualitativo, con base en teorías de evaluación para el aprendizaje.</w:t>
      </w:r>
    </w:p>
    <w:p w:rsidR="00955321" w:rsidRPr="00955321" w:rsidRDefault="00955321" w:rsidP="00955321">
      <w:pPr>
        <w:pStyle w:val="Prrafodelista"/>
        <w:numPr>
          <w:ilvl w:val="0"/>
          <w:numId w:val="2"/>
        </w:numPr>
        <w:spacing w:after="0"/>
        <w:rPr>
          <w:rFonts w:ascii="Times New Roman" w:hAnsi="Times New Roman" w:cs="Times New Roman"/>
          <w:sz w:val="28"/>
          <w:lang w:val="es-MX"/>
        </w:rPr>
      </w:pPr>
      <w:r w:rsidRPr="00955321">
        <w:rPr>
          <w:rFonts w:ascii="Times New Roman" w:hAnsi="Times New Roman" w:cs="Times New Roman"/>
          <w:sz w:val="28"/>
          <w:lang w:val="es-MX"/>
        </w:rPr>
        <w:t>Interpreta los resultados de las evaluaciones para realizar ajustes curriculares y estrategias de aprendizaje.</w:t>
      </w:r>
    </w:p>
    <w:p w:rsidR="00955321" w:rsidRDefault="00955321" w:rsidP="00955321">
      <w:pPr>
        <w:spacing w:after="0"/>
        <w:rPr>
          <w:rFonts w:ascii="Times New Roman" w:hAnsi="Times New Roman" w:cs="Times New Roman"/>
          <w:sz w:val="28"/>
          <w:lang w:val="es-MX"/>
        </w:rPr>
      </w:pPr>
    </w:p>
    <w:p w:rsidR="00955321" w:rsidRDefault="00955321" w:rsidP="00955321">
      <w:pPr>
        <w:spacing w:after="0"/>
        <w:rPr>
          <w:rFonts w:ascii="Times New Roman" w:hAnsi="Times New Roman" w:cs="Times New Roman"/>
          <w:sz w:val="28"/>
          <w:lang w:val="es-MX"/>
        </w:rPr>
      </w:pPr>
    </w:p>
    <w:p w:rsidR="00955321" w:rsidRPr="00955321" w:rsidRDefault="00955321" w:rsidP="00955321">
      <w:pPr>
        <w:jc w:val="center"/>
        <w:rPr>
          <w:rFonts w:ascii="Times New Roman" w:hAnsi="Times New Roman" w:cs="Times New Roman"/>
          <w:sz w:val="28"/>
          <w:lang w:val="es-MX"/>
        </w:rPr>
      </w:pPr>
      <w:r w:rsidRPr="00955321">
        <w:rPr>
          <w:rFonts w:ascii="Times New Roman" w:hAnsi="Times New Roman" w:cs="Times New Roman"/>
          <w:sz w:val="28"/>
          <w:lang w:val="es-MX"/>
        </w:rPr>
        <w:t>11 de noviembre de 2019. Saltillo, Coahuila.</w:t>
      </w:r>
    </w:p>
    <w:p w:rsidR="00955321" w:rsidRPr="002F2B9D" w:rsidRDefault="00F37EEE" w:rsidP="00F37EEE">
      <w:pPr>
        <w:spacing w:after="0"/>
        <w:rPr>
          <w:rFonts w:ascii="Times New Roman" w:hAnsi="Times New Roman" w:cs="Times New Roman"/>
          <w:b/>
          <w:sz w:val="28"/>
          <w:lang w:val="es-MX"/>
        </w:rPr>
      </w:pPr>
      <w:r w:rsidRPr="002F2B9D">
        <w:rPr>
          <w:rFonts w:ascii="Times New Roman" w:hAnsi="Times New Roman" w:cs="Times New Roman"/>
          <w:b/>
          <w:sz w:val="28"/>
          <w:lang w:val="es-MX"/>
        </w:rPr>
        <w:lastRenderedPageBreak/>
        <w:t>Diagnostico dl jardín de niños</w:t>
      </w:r>
    </w:p>
    <w:p w:rsidR="00F37EEE" w:rsidRPr="00F37EEE" w:rsidRDefault="00F37EEE" w:rsidP="00F37EEE">
      <w:pPr>
        <w:spacing w:after="0"/>
        <w:rPr>
          <w:rFonts w:ascii="Times New Roman" w:hAnsi="Times New Roman" w:cs="Times New Roman"/>
          <w:sz w:val="28"/>
          <w:lang w:val="es-MX"/>
        </w:rPr>
      </w:pP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 xml:space="preserve">El jardín de niños “Europa” del nivel de preescolar de sostenimiento Estatal con clave 05DJN0286W se </w:t>
      </w:r>
      <w:r w:rsidR="00F37EEE">
        <w:rPr>
          <w:rFonts w:ascii="Times New Roman" w:hAnsi="Times New Roman" w:cs="Times New Roman"/>
          <w:sz w:val="24"/>
        </w:rPr>
        <w:t>localiza al</w:t>
      </w:r>
      <w:r>
        <w:rPr>
          <w:rFonts w:ascii="Times New Roman" w:hAnsi="Times New Roman" w:cs="Times New Roman"/>
          <w:sz w:val="24"/>
        </w:rPr>
        <w:t xml:space="preserve"> oriente de la ciudad de Saltillo, Coahuila en la calle Privada 520 del Fraccionamiento Europa, con teléfono 844 4169252.</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Comienza a funcionar el 25 de agosto de 1981 llevando el nombre de Jardín de Nueva Creación con clave 0533888, iniciando este bajo la dirección de la inspectora Profa. Francisca Peña Ramos perteneciente a la 15ª zona escolar; el 21 de junio de 1982 se le hace entrega del local a la trabajadora manual de dicho plantel María del Refugio R. de Armendáriz; no fue hasta el 28 de abril de 1987 que se decide cambiar oficialmente el nombre por Jardín de Niños Europa, llevando este nombre por su ubicación en el fraccionamiento Europa. Se inició con una organización incompleta manejando un turno matutino y de genero mixto, manejado por la directora en un grupo de tercer año y a la par una educadora con un grupo de segundo año. Se tuvo una población de 32 niños y 44 niñas, dando un total de 76 alumnos. En el ciclo escolar 1999 se acepta por primera vez una generación de alumnas practicantes de la Escuela Normal de Educación Preescolar para la realización de jornadas de práctica para la mejora de su trayecto formativo.</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 xml:space="preserve">Su tipo de construcción es de ladrillo y concreto armado, satisfacía todos los requisitos higiénicos, pedagógicos, sus condiciones eran buenas y contaba con dos salas de clase, una dirección, una bodega y dos baños contando cada uno con tres sanitarios, tres lavados y dos bebederos. En 2003-2004 se construye un aula psicopedagógica para el </w:t>
      </w:r>
      <w:r w:rsidR="00F37EEE">
        <w:rPr>
          <w:rFonts w:ascii="Times New Roman" w:hAnsi="Times New Roman" w:cs="Times New Roman"/>
          <w:sz w:val="24"/>
        </w:rPr>
        <w:t>apoyo a</w:t>
      </w:r>
      <w:r>
        <w:rPr>
          <w:rFonts w:ascii="Times New Roman" w:hAnsi="Times New Roman" w:cs="Times New Roman"/>
          <w:sz w:val="24"/>
        </w:rPr>
        <w:t xml:space="preserve"> alumnos con barreras de aprendizajes y una mejor atención educativa</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 xml:space="preserve">“La incorporación de </w:t>
      </w:r>
      <w:proofErr w:type="gramStart"/>
      <w:r>
        <w:rPr>
          <w:rFonts w:ascii="Times New Roman" w:hAnsi="Times New Roman" w:cs="Times New Roman"/>
          <w:sz w:val="24"/>
        </w:rPr>
        <w:t>las tics</w:t>
      </w:r>
      <w:proofErr w:type="gramEnd"/>
      <w:r>
        <w:rPr>
          <w:rFonts w:ascii="Times New Roman" w:hAnsi="Times New Roman" w:cs="Times New Roman"/>
          <w:sz w:val="24"/>
        </w:rPr>
        <w:t xml:space="preserve"> en la educación ha abierto grandes posibilidades para mejorar los procesos de enseñanza y aprendizaje” Roberto Carneiro (</w:t>
      </w:r>
      <w:proofErr w:type="spellStart"/>
      <w:r>
        <w:rPr>
          <w:rFonts w:ascii="Times New Roman" w:hAnsi="Times New Roman" w:cs="Times New Roman"/>
          <w:sz w:val="24"/>
        </w:rPr>
        <w:t>añooooooo</w:t>
      </w:r>
      <w:proofErr w:type="spellEnd"/>
      <w:r>
        <w:rPr>
          <w:rFonts w:ascii="Times New Roman" w:hAnsi="Times New Roman" w:cs="Times New Roman"/>
          <w:sz w:val="24"/>
        </w:rPr>
        <w:t xml:space="preserve">) es por esto que en el año 2015 como un cambio revolucionario en la forma de trabajar y adquirir competencias digitales tanto en los profesores como en </w:t>
      </w:r>
      <w:r w:rsidR="00F37EEE">
        <w:rPr>
          <w:rFonts w:ascii="Times New Roman" w:hAnsi="Times New Roman" w:cs="Times New Roman"/>
          <w:sz w:val="24"/>
        </w:rPr>
        <w:t>los alumnos</w:t>
      </w:r>
      <w:r>
        <w:rPr>
          <w:rFonts w:ascii="Times New Roman" w:hAnsi="Times New Roman" w:cs="Times New Roman"/>
          <w:sz w:val="24"/>
        </w:rPr>
        <w:t>, en la institución se implementan las Tics, gracias a un programa del PETC y al Gobierno del Estado de Coahuila dando un apoyo económico para la adquisición de tablets.</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Actualmente se encuentra a cargo la directora Cinthia Rodríguez Coronel, como inspectora de sector es la maestra María Beltrán Bustos y de jefa de sector la maestr</w:t>
      </w:r>
      <w:r w:rsidR="00F37EEE">
        <w:rPr>
          <w:rFonts w:ascii="Times New Roman" w:hAnsi="Times New Roman" w:cs="Times New Roman"/>
          <w:sz w:val="24"/>
        </w:rPr>
        <w:t xml:space="preserve">a María Agustina Tristán Guel. </w:t>
      </w:r>
      <w:r>
        <w:rPr>
          <w:rFonts w:ascii="Times New Roman" w:hAnsi="Times New Roman" w:cs="Times New Roman"/>
          <w:sz w:val="24"/>
        </w:rPr>
        <w:t xml:space="preserve">Cuenta con un área total de 1,600 metros cuadrados con 4 aulas, una dirección, una </w:t>
      </w:r>
      <w:r>
        <w:rPr>
          <w:rFonts w:ascii="Times New Roman" w:hAnsi="Times New Roman" w:cs="Times New Roman"/>
          <w:sz w:val="24"/>
        </w:rPr>
        <w:lastRenderedPageBreak/>
        <w:t>bodega, 2 baños, cocina, salón de apoyo y un aula de usos múltiples acondicionada con mobiliario, aire acondicionado.</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El jardín de niños es de organización completa y el horario de trabajo del jardín de niños con el calendario de 190 días es: de modalidad jornada ampliada de 7:45 a.m. a 13:00 p.m. está ubicado en el área urbana y cuentan con todos los servicios básicos como agua, luz, drenaje, teléfono, transporte público, internet con México Conectado y Telmex.  El plantel cuenta con una buena infraestructura y las necesidades de mantenimiento son las básicas; como pintura de área perimetral, reparación de baños. En construcción falta techo estructural y foro para la realización de eventos.</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 xml:space="preserve">El personal que atiende el servicio educativo es el siguiente: </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t>Un directivo, 4 educadoras, un trabajador manual y maestros de apoyo como: un maestro de Educación física, acompañante musical, una psicóloga y una pedagoga.</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La matrícula que se atiende en este ciclo escolar 2019-2020 es de 129 alumnos hombres y mujeres de edades entre 3 a 5.11 años.</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El consejo escolar de participación social y la asociación de padres de familia participan en la elaboración del proyecto de mejora realizando acciones y gestiones, trabajando en equipo con la comunidad educativa para generar ambientes de enseñanza y aprendizaje con las condiciones óptimas para una educación de excelencia, como consecuencia de esto se han incorporado materiales más modernos como son: computadoras, cañón de proyección, pantallas, Tablet, regletas, geo planos, etcétera; y los que de manera oportuna y completa entrega la Secretaria de Educación Pública como los libros de texto: mi álbum y los materiales para las aulas: abecedarios móviles, rompecabezas, memorama, barajas, biblioteca de aula y de escuela; los cuales se utilizan como apoyo a la enseñanza no enfatizando el aprendizaje esperado.</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El diagnóstico del contexto externo nos da información de que los niños acuden a las instituciones pertenecen en su mayoría a familias nucleares un 75</w:t>
      </w:r>
      <w:r w:rsidR="00F37EEE">
        <w:rPr>
          <w:rFonts w:ascii="Times New Roman" w:hAnsi="Times New Roman" w:cs="Times New Roman"/>
          <w:sz w:val="24"/>
        </w:rPr>
        <w:t>%, monoparentales</w:t>
      </w:r>
      <w:r>
        <w:rPr>
          <w:rFonts w:ascii="Times New Roman" w:hAnsi="Times New Roman" w:cs="Times New Roman"/>
          <w:sz w:val="24"/>
        </w:rPr>
        <w:t>, es decir, que son cuidados por la madre o por el padre un 15%, y las extendidas al cuidado de los abuelos o tíos el 10% lo que impacta en la continuidad de los aprendizajes. Así como del nivel académico de los padres, el 66% son profesionistas, el 15% técnicos de empresas automotriz, 15% operarios y 5% eventuales, el nivel económico es medio y medio alto.</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 xml:space="preserve">Dentro de la diversidad lingüística y cultural, por las características geográficas y de la región donde se ubica la zona escolar los alumnos se comunican en su lengua materna el español. </w:t>
      </w:r>
      <w:r>
        <w:rPr>
          <w:rFonts w:ascii="Times New Roman" w:hAnsi="Times New Roman" w:cs="Times New Roman"/>
          <w:sz w:val="24"/>
        </w:rPr>
        <w:lastRenderedPageBreak/>
        <w:t>Además de desarrolla propuestas, estrategias y programas que mejoren la cultura y fomenten una buena educación, como dice Carbonell “la observación atenta y reflexiva de la realidad cotidiana es una de las vías más poderosas de acceso al conocimiento”</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El clima institucional es de respeto, confianza, democrático y de pertenencia a la escuela por la práctica de los valores institucionales, se tiene un gran compromiso por mejorar las prácticas educativas y la excelencia de los aprendizajes, tienen disposición al trabajo en equipo, al intercambio de experiencias exitosas y al trabajo entre pares, existe una buena comunicación con la comunidad educativa integrándola al trabajo en colaboración.</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Los consejos técnicos escolares son el espacio donde existe trabajo en equipo dentro de los colectivos y un ambiente de respeto a las normas establecidas para mejorar su funcionamiento, se fomenta el trabajo entre pares para el intercambio académico de forma continua y las competencias profesionales de los docentes, se analiza y reflexiona los aprendizajes de los alumnos para enfocar las actividades a un mejor logro educativo de todos los estudiantes, elevando la calidad del servicio que presta el jardín de niños. Se toman acuerdos consensuados lo que permite focalizar las áreas de oportunidad.</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En la normalidad mínima de operación escolar se presenta un avance significativo por la asistencia regular y puntual de los maestros y alumnos, aprovechando el tiempo en un 90% en actividades pedagógicas, se cumple el calendario escolar y los materiales están a disposición de los alumnos.</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En el rezago educativo y la deserción se obtienen logros relevantes al mantener la estadística de inicio de ciclo escolar hasta concluir el año, creando buenos ambientes de aprendizajes, se llevan a cabo estrategias que motiven la asistencia y puntualidad, por ejemplo; colocar en el cuadro de honor a los alumnos que no faltan y llegan a tiempo, reconocer a los padres responsables en las reuniones de información, además se da seguimiento sistemático a los alumnos con faltas frecuentes.</w:t>
      </w:r>
    </w:p>
    <w:p w:rsidR="00955321" w:rsidRDefault="00955321" w:rsidP="006656B3">
      <w:pPr>
        <w:spacing w:line="360" w:lineRule="auto"/>
        <w:jc w:val="both"/>
        <w:rPr>
          <w:rFonts w:ascii="Times New Roman" w:hAnsi="Times New Roman" w:cs="Times New Roman"/>
          <w:sz w:val="24"/>
        </w:rPr>
      </w:pPr>
      <w:r>
        <w:rPr>
          <w:rFonts w:ascii="Times New Roman" w:hAnsi="Times New Roman" w:cs="Times New Roman"/>
          <w:sz w:val="24"/>
        </w:rPr>
        <w:t xml:space="preserve">La convivencia escolar sana y libre de violencia ha tenido un avance significativo debido a la práctica de valores, la mediación de conflictos, la comunicación asertiva y el uso </w:t>
      </w:r>
      <w:proofErr w:type="gramStart"/>
      <w:r>
        <w:rPr>
          <w:rFonts w:ascii="Times New Roman" w:hAnsi="Times New Roman" w:cs="Times New Roman"/>
          <w:sz w:val="24"/>
        </w:rPr>
        <w:t>del  dialogo</w:t>
      </w:r>
      <w:proofErr w:type="gramEnd"/>
      <w:r>
        <w:rPr>
          <w:rFonts w:ascii="Times New Roman" w:hAnsi="Times New Roman" w:cs="Times New Roman"/>
          <w:sz w:val="24"/>
        </w:rPr>
        <w:t xml:space="preserve"> como herramienta para la toma de acuerdos y la aplicación del Programa Nacional de Convivencia Escolar.</w:t>
      </w:r>
    </w:p>
    <w:p w:rsidR="006656B3" w:rsidRDefault="006656B3" w:rsidP="006656B3">
      <w:pPr>
        <w:spacing w:after="0" w:line="360" w:lineRule="auto"/>
        <w:rPr>
          <w:rFonts w:ascii="Times New Roman" w:hAnsi="Times New Roman" w:cs="Times New Roman"/>
          <w:sz w:val="28"/>
          <w:lang w:val="es-MX"/>
        </w:rPr>
      </w:pPr>
    </w:p>
    <w:p w:rsidR="006656B3" w:rsidRDefault="006656B3" w:rsidP="006656B3">
      <w:pPr>
        <w:spacing w:after="0" w:line="360" w:lineRule="auto"/>
        <w:rPr>
          <w:rFonts w:ascii="Times New Roman" w:hAnsi="Times New Roman" w:cs="Times New Roman"/>
          <w:sz w:val="28"/>
          <w:lang w:val="es-MX"/>
        </w:rPr>
      </w:pPr>
    </w:p>
    <w:p w:rsidR="00F37EEE" w:rsidRPr="002F2B9D" w:rsidRDefault="00F37EEE" w:rsidP="006656B3">
      <w:pPr>
        <w:spacing w:after="0" w:line="360" w:lineRule="auto"/>
        <w:rPr>
          <w:rFonts w:ascii="Times New Roman" w:hAnsi="Times New Roman" w:cs="Times New Roman"/>
          <w:b/>
          <w:sz w:val="28"/>
          <w:lang w:val="es-MX"/>
        </w:rPr>
      </w:pPr>
      <w:r w:rsidRPr="002F2B9D">
        <w:rPr>
          <w:rFonts w:ascii="Times New Roman" w:hAnsi="Times New Roman" w:cs="Times New Roman"/>
          <w:b/>
          <w:sz w:val="28"/>
          <w:lang w:val="es-MX"/>
        </w:rPr>
        <w:lastRenderedPageBreak/>
        <w:t>Diagnóstico del grupo</w:t>
      </w:r>
    </w:p>
    <w:p w:rsidR="00F37EEE" w:rsidRDefault="00F37EEE" w:rsidP="006656B3">
      <w:pPr>
        <w:spacing w:after="0" w:line="360" w:lineRule="auto"/>
        <w:rPr>
          <w:rFonts w:ascii="Times New Roman" w:hAnsi="Times New Roman" w:cs="Times New Roman"/>
          <w:sz w:val="24"/>
          <w:lang w:val="es-MX"/>
        </w:rPr>
      </w:pPr>
      <w:r w:rsidRPr="00F37EEE">
        <w:rPr>
          <w:rFonts w:ascii="Times New Roman" w:hAnsi="Times New Roman" w:cs="Times New Roman"/>
          <w:sz w:val="28"/>
          <w:lang w:val="es-MX"/>
        </w:rPr>
        <w:t xml:space="preserve">El </w:t>
      </w:r>
      <w:r w:rsidRPr="00F37EEE">
        <w:rPr>
          <w:rFonts w:ascii="Times New Roman" w:hAnsi="Times New Roman" w:cs="Times New Roman"/>
          <w:sz w:val="24"/>
          <w:lang w:val="es-MX"/>
        </w:rPr>
        <w:t>grupo de practica asignado fue mixto que cuenta con alumnos de 2°y 3°</w:t>
      </w:r>
      <w:r>
        <w:rPr>
          <w:rFonts w:ascii="Times New Roman" w:hAnsi="Times New Roman" w:cs="Times New Roman"/>
          <w:sz w:val="24"/>
          <w:lang w:val="es-MX"/>
        </w:rPr>
        <w:t xml:space="preserve"> A</w:t>
      </w:r>
      <w:r w:rsidRPr="00F37EEE">
        <w:rPr>
          <w:rFonts w:ascii="Times New Roman" w:hAnsi="Times New Roman" w:cs="Times New Roman"/>
          <w:sz w:val="24"/>
          <w:lang w:val="es-MX"/>
        </w:rPr>
        <w:t xml:space="preserve"> de preescolar a cargo de la maestra Silvia María Ramos López, cuenta con un total 31 de alumnos, de 2°do son 21 y de 3°ro hay 10, es un grupo muy organizado y de edades están entre 4 a 5 años. </w:t>
      </w:r>
    </w:p>
    <w:p w:rsidR="00FA3BED" w:rsidRDefault="00FA3BED" w:rsidP="006656B3">
      <w:pPr>
        <w:spacing w:after="0" w:line="360" w:lineRule="auto"/>
        <w:rPr>
          <w:rFonts w:ascii="Times New Roman" w:hAnsi="Times New Roman" w:cs="Times New Roman"/>
          <w:sz w:val="24"/>
          <w:lang w:val="es-MX"/>
        </w:rPr>
      </w:pPr>
    </w:p>
    <w:p w:rsidR="00F37EEE" w:rsidRPr="00F37EEE" w:rsidRDefault="00F37EEE" w:rsidP="006656B3">
      <w:pPr>
        <w:spacing w:after="0" w:line="360" w:lineRule="auto"/>
        <w:rPr>
          <w:rFonts w:ascii="Times New Roman" w:hAnsi="Times New Roman" w:cs="Times New Roman"/>
          <w:sz w:val="24"/>
          <w:lang w:val="es-MX"/>
        </w:rPr>
      </w:pPr>
      <w:r w:rsidRPr="00F37EEE">
        <w:rPr>
          <w:rFonts w:ascii="Times New Roman" w:hAnsi="Times New Roman" w:cs="Times New Roman"/>
          <w:sz w:val="24"/>
          <w:lang w:val="es-MX"/>
        </w:rPr>
        <w:t xml:space="preserve">Hay alumnos con barreras de aprendizaje y la mayoría son de segundo ya que algunos son nuevos que llegaron de otras instituciones o que apenas es su primera vez cursando en el jardín, los factores que detecte y que me mencionó la educadora es que presentan problemas de lenguaje, de conducta, de escritura y a la hora de seguir indicaciones se descontrolan con facilidad. </w:t>
      </w:r>
    </w:p>
    <w:p w:rsidR="00F37EEE" w:rsidRPr="00F37EEE" w:rsidRDefault="00F37EEE" w:rsidP="006656B3">
      <w:pPr>
        <w:spacing w:after="0" w:line="360" w:lineRule="auto"/>
        <w:rPr>
          <w:rFonts w:ascii="Times New Roman" w:hAnsi="Times New Roman" w:cs="Times New Roman"/>
          <w:sz w:val="24"/>
          <w:lang w:val="es-MX"/>
        </w:rPr>
      </w:pPr>
      <w:r w:rsidRPr="00F37EEE">
        <w:rPr>
          <w:rFonts w:ascii="Times New Roman" w:hAnsi="Times New Roman" w:cs="Times New Roman"/>
          <w:sz w:val="24"/>
          <w:lang w:val="es-MX"/>
        </w:rPr>
        <w:t>Como mencione anteriormente la mayoría del grupo son niños de 2do que son los que están presentando esas barreras. Una de las ventajas es que no están solos, cuentan con el apoyo de la maestra y de los niños de tercero, ya que ellos les encanta ser tutores de los niños de segundo, les dicen cómo trabajar y las maneras de realizar las actividades.</w:t>
      </w:r>
    </w:p>
    <w:p w:rsidR="00F37EEE" w:rsidRPr="00F37EEE" w:rsidRDefault="00F37EEE" w:rsidP="006656B3">
      <w:pPr>
        <w:spacing w:after="0" w:line="360" w:lineRule="auto"/>
        <w:rPr>
          <w:rFonts w:ascii="Times New Roman" w:hAnsi="Times New Roman" w:cs="Times New Roman"/>
          <w:sz w:val="24"/>
          <w:lang w:val="es-MX"/>
        </w:rPr>
      </w:pPr>
    </w:p>
    <w:p w:rsidR="00F37EEE" w:rsidRPr="00F37EEE" w:rsidRDefault="00F37EEE" w:rsidP="006656B3">
      <w:pPr>
        <w:spacing w:after="0" w:line="360" w:lineRule="auto"/>
        <w:rPr>
          <w:rFonts w:ascii="Times New Roman" w:hAnsi="Times New Roman" w:cs="Times New Roman"/>
          <w:sz w:val="24"/>
          <w:lang w:val="es-MX"/>
        </w:rPr>
      </w:pPr>
      <w:r w:rsidRPr="00F37EEE">
        <w:rPr>
          <w:rFonts w:ascii="Times New Roman" w:hAnsi="Times New Roman" w:cs="Times New Roman"/>
          <w:sz w:val="24"/>
          <w:lang w:val="es-MX"/>
        </w:rPr>
        <w:t xml:space="preserve"> Pude ver que llevan muy bien al trabajar en equipo. El aula de clases cuenta con suficiente material didáctico, biblioteca, periódico mural que está decorado de acuerdo al mes, lamentablemente el salón de clases carece de espacio y de tamaño ya que igual presenta un obstáculo a la hora de realizar las actividades y de movernos gustosamente. Olvide mencionar que cuenta con aire acondicionado (mini Split), ventiladores, casilleros donde los niños guardan sus trabajos, cuadernos y útiles escolares y ventanas. </w:t>
      </w:r>
    </w:p>
    <w:p w:rsidR="00F37EEE" w:rsidRPr="00F37EEE" w:rsidRDefault="00F37EEE" w:rsidP="006656B3">
      <w:pPr>
        <w:spacing w:after="0" w:line="360" w:lineRule="auto"/>
        <w:rPr>
          <w:rFonts w:ascii="Times New Roman" w:hAnsi="Times New Roman" w:cs="Times New Roman"/>
          <w:sz w:val="24"/>
          <w:lang w:val="es-MX"/>
        </w:rPr>
      </w:pPr>
      <w:r w:rsidRPr="00F37EEE">
        <w:rPr>
          <w:rFonts w:ascii="Times New Roman" w:hAnsi="Times New Roman" w:cs="Times New Roman"/>
          <w:sz w:val="24"/>
          <w:lang w:val="es-MX"/>
        </w:rPr>
        <w:t xml:space="preserve"> </w:t>
      </w:r>
    </w:p>
    <w:p w:rsidR="00F37EEE" w:rsidRPr="00F37EEE" w:rsidRDefault="00F37EEE" w:rsidP="006656B3">
      <w:pPr>
        <w:spacing w:after="0" w:line="360" w:lineRule="auto"/>
        <w:rPr>
          <w:rFonts w:ascii="Times New Roman" w:hAnsi="Times New Roman" w:cs="Times New Roman"/>
          <w:sz w:val="24"/>
          <w:lang w:val="es-MX"/>
        </w:rPr>
      </w:pPr>
      <w:r w:rsidRPr="00F37EEE">
        <w:rPr>
          <w:rFonts w:ascii="Times New Roman" w:hAnsi="Times New Roman" w:cs="Times New Roman"/>
          <w:sz w:val="24"/>
          <w:lang w:val="es-MX"/>
        </w:rPr>
        <w:t>Cabe mencionar que el aula cuenta con un pizarrón, televisión y laptop con internet, en los cuales se pueden enriquecer más las actividades y los niños aprendan y conozcan cosas innovadoras, debajo del pizarrón hay percheros en donde los niños cuelgan sus abrigos.</w:t>
      </w:r>
    </w:p>
    <w:p w:rsidR="00F37EEE" w:rsidRPr="00F37EEE" w:rsidRDefault="00F37EEE" w:rsidP="006656B3">
      <w:pPr>
        <w:spacing w:after="0" w:line="360" w:lineRule="auto"/>
        <w:rPr>
          <w:rFonts w:ascii="Times New Roman" w:hAnsi="Times New Roman" w:cs="Times New Roman"/>
          <w:sz w:val="24"/>
          <w:lang w:val="es-MX"/>
        </w:rPr>
      </w:pPr>
    </w:p>
    <w:p w:rsidR="00F37EEE" w:rsidRPr="00F37EEE" w:rsidRDefault="00F37EEE" w:rsidP="006656B3">
      <w:pPr>
        <w:spacing w:after="0" w:line="360" w:lineRule="auto"/>
        <w:rPr>
          <w:rFonts w:ascii="Times New Roman" w:hAnsi="Times New Roman" w:cs="Times New Roman"/>
          <w:sz w:val="24"/>
          <w:lang w:val="es-MX"/>
        </w:rPr>
      </w:pPr>
      <w:r w:rsidRPr="00F37EEE">
        <w:rPr>
          <w:rFonts w:ascii="Times New Roman" w:hAnsi="Times New Roman" w:cs="Times New Roman"/>
          <w:sz w:val="24"/>
          <w:lang w:val="es-MX"/>
        </w:rPr>
        <w:t xml:space="preserve">La educadora Silvia María Ramos López cuenta con un nivel de estudio de Licenciatura en educación preescolar, tiene 15 años de servicio, se basa en los aprendizajes esperados, crea ambientes e aprendizaje en el aula mediante la decoración, imágenes, respeto, compañerismo afectividad e innovación. Considera importante la participación de los familiares en el desarrollo de sus alumnos para que estos se sientas motivados y apoyados, favorece la inclusión no dejando a los niños que van más atrás a un lado. </w:t>
      </w:r>
    </w:p>
    <w:p w:rsidR="00F37EEE" w:rsidRPr="00F37EEE" w:rsidRDefault="00F37EEE" w:rsidP="006656B3">
      <w:pPr>
        <w:spacing w:after="0" w:line="360" w:lineRule="auto"/>
        <w:rPr>
          <w:rFonts w:ascii="Times New Roman" w:hAnsi="Times New Roman" w:cs="Times New Roman"/>
          <w:sz w:val="24"/>
          <w:lang w:val="es-MX"/>
        </w:rPr>
      </w:pPr>
    </w:p>
    <w:p w:rsidR="00F37EEE" w:rsidRDefault="00F37EEE" w:rsidP="006656B3">
      <w:pPr>
        <w:spacing w:after="0" w:line="360" w:lineRule="auto"/>
        <w:rPr>
          <w:rFonts w:ascii="Times New Roman" w:hAnsi="Times New Roman" w:cs="Times New Roman"/>
          <w:sz w:val="24"/>
          <w:lang w:val="es-MX"/>
        </w:rPr>
      </w:pPr>
      <w:r w:rsidRPr="00F37EEE">
        <w:rPr>
          <w:rFonts w:ascii="Times New Roman" w:hAnsi="Times New Roman" w:cs="Times New Roman"/>
          <w:sz w:val="24"/>
          <w:lang w:val="es-MX"/>
        </w:rPr>
        <w:lastRenderedPageBreak/>
        <w:t>Emplea el orden de las actividades propuestas para establecer prioridades de las competencias, sus actividades siempre son retadoras, innovadora y emplea el juego. La maestra realiza actividades adecuadas a las necesidades de los niños ya que toma en cuenta lo que verdaderamente necesitan aprender y lo que va acorde a su desarrollo cognoscitivo, todo en base al examen de diagnóstico.</w:t>
      </w:r>
    </w:p>
    <w:p w:rsidR="00F37EEE" w:rsidRDefault="00F37EEE" w:rsidP="006656B3">
      <w:pPr>
        <w:spacing w:after="0" w:line="360" w:lineRule="auto"/>
        <w:rPr>
          <w:rFonts w:ascii="Times New Roman" w:hAnsi="Times New Roman" w:cs="Times New Roman"/>
          <w:sz w:val="24"/>
          <w:lang w:val="es-MX"/>
        </w:rPr>
      </w:pPr>
    </w:p>
    <w:p w:rsidR="00F37EEE" w:rsidRDefault="00CE6C24" w:rsidP="006656B3">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Como afirma Booth, y Ainscow “se considera que las barreras al aprendizaje y la participación surgen de la interacción entre los estudiantes y sus contextos; las personas, las políticas, las instituciones, las culturas y las circunstancias sociales y económicas que afectan a sus vidas.” (2000, p.7)</w:t>
      </w:r>
    </w:p>
    <w:p w:rsidR="00CE6C24" w:rsidRDefault="00CE6C24" w:rsidP="006656B3">
      <w:pPr>
        <w:spacing w:after="0" w:line="360" w:lineRule="auto"/>
        <w:rPr>
          <w:rFonts w:ascii="Times New Roman" w:hAnsi="Times New Roman" w:cs="Times New Roman"/>
          <w:sz w:val="24"/>
          <w:lang w:val="es-MX"/>
        </w:rPr>
      </w:pPr>
    </w:p>
    <w:p w:rsidR="002F2B9D"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 xml:space="preserve">En las jornadas de observación se logró apreciar el avance y las características de cada uno de los alumnos, se elaboró una evaluación diagnóstica en el cual se plasmaron los conocimientos previos que los niños tenían en cuanto a los distintos campos de formación académica y las diversas áreas de desarrollo socioemocional. </w:t>
      </w:r>
    </w:p>
    <w:p w:rsidR="002F2B9D" w:rsidRDefault="002F2B9D" w:rsidP="00CE6C24">
      <w:pPr>
        <w:spacing w:after="0" w:line="360" w:lineRule="auto"/>
        <w:rPr>
          <w:rFonts w:ascii="Times New Roman" w:hAnsi="Times New Roman" w:cs="Times New Roman"/>
          <w:sz w:val="24"/>
          <w:lang w:val="es-MX"/>
        </w:rPr>
      </w:pPr>
    </w:p>
    <w:p w:rsid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En dicho diagnóstico se apreció que les gusta mucho las actividades retadoras eso los motiva aprender, los alumnos son observadores y les gusta mucho trabajar con las tecnologías de información y comunicación, el uso del cañón y la grabadora es fundamental para el trabajo en el aula. Es un grupo dinámico y muy dispuesto siempre a trabajar, los alumnos del grupo se motivan mediante actividades que son atractivas, interesantes para ellos y que atiendan sus necesidades, también mediante los halagos de la educadora, es decir, la actitud positiva es básica en todos en todo docente.</w:t>
      </w:r>
    </w:p>
    <w:p w:rsidR="00CE6C24" w:rsidRPr="00CE6C24" w:rsidRDefault="00CE6C24" w:rsidP="00CE6C24">
      <w:pPr>
        <w:spacing w:after="0" w:line="360" w:lineRule="auto"/>
        <w:rPr>
          <w:rFonts w:ascii="Times New Roman" w:hAnsi="Times New Roman" w:cs="Times New Roman"/>
          <w:sz w:val="24"/>
          <w:lang w:val="es-MX"/>
        </w:rPr>
      </w:pPr>
    </w:p>
    <w:p w:rsidR="00CE6C24" w:rsidRP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Como menciona Calixto el diagnóstico es el camino que nos permite intervenir de manera eficaz, representa una herramienta idónea pata orientar y guiar las practicas que se desarrollan en la escuela en congruencia con la detección de los problemas y necesidades y facilita el diseño de estrategias de solución con base a los resultados obtenidos. (2009), el diagnóstico es clave en nuestra labor docente ya que nos permite reconocer y partir de lo que sabe y necesitan aprender, por lo que se requiere evaluar cada uno de los diferentes campos de formación académica y áreas de desarrollo personal y social:</w:t>
      </w:r>
    </w:p>
    <w:p w:rsidR="00CE6C24" w:rsidRDefault="00CE6C24" w:rsidP="00CE6C24">
      <w:pPr>
        <w:spacing w:after="0" w:line="360" w:lineRule="auto"/>
        <w:rPr>
          <w:rFonts w:ascii="Times New Roman" w:hAnsi="Times New Roman" w:cs="Times New Roman"/>
          <w:sz w:val="24"/>
          <w:lang w:val="es-MX"/>
        </w:rPr>
      </w:pPr>
    </w:p>
    <w:p w:rsidR="002F2B9D" w:rsidRDefault="002F2B9D" w:rsidP="00CE6C24">
      <w:pPr>
        <w:spacing w:after="0" w:line="360" w:lineRule="auto"/>
        <w:rPr>
          <w:rFonts w:ascii="Times New Roman" w:hAnsi="Times New Roman" w:cs="Times New Roman"/>
          <w:sz w:val="24"/>
          <w:lang w:val="es-MX"/>
        </w:rPr>
      </w:pPr>
    </w:p>
    <w:p w:rsidR="00CE6C24" w:rsidRPr="00CE6C24" w:rsidRDefault="00CE6C24" w:rsidP="00CE6C24">
      <w:pPr>
        <w:spacing w:after="0" w:line="360" w:lineRule="auto"/>
        <w:rPr>
          <w:rFonts w:ascii="Times New Roman" w:hAnsi="Times New Roman" w:cs="Times New Roman"/>
          <w:sz w:val="24"/>
          <w:lang w:val="es-MX"/>
        </w:rPr>
      </w:pPr>
    </w:p>
    <w:p w:rsidR="00CE6C24" w:rsidRPr="002F2B9D" w:rsidRDefault="00CE6C24" w:rsidP="00CE6C24">
      <w:pPr>
        <w:spacing w:after="0" w:line="360" w:lineRule="auto"/>
        <w:rPr>
          <w:rFonts w:ascii="Times New Roman" w:hAnsi="Times New Roman" w:cs="Times New Roman"/>
          <w:b/>
          <w:sz w:val="24"/>
          <w:lang w:val="es-MX"/>
        </w:rPr>
      </w:pPr>
      <w:r w:rsidRPr="00CE6C24">
        <w:rPr>
          <w:rFonts w:ascii="Times New Roman" w:hAnsi="Times New Roman" w:cs="Times New Roman"/>
          <w:sz w:val="24"/>
          <w:lang w:val="es-MX"/>
        </w:rPr>
        <w:lastRenderedPageBreak/>
        <w:t>•</w:t>
      </w:r>
      <w:r w:rsidRPr="00CE6C24">
        <w:rPr>
          <w:rFonts w:ascii="Times New Roman" w:hAnsi="Times New Roman" w:cs="Times New Roman"/>
          <w:sz w:val="24"/>
          <w:lang w:val="es-MX"/>
        </w:rPr>
        <w:tab/>
      </w:r>
      <w:r w:rsidR="002F2B9D">
        <w:rPr>
          <w:rFonts w:ascii="Times New Roman" w:hAnsi="Times New Roman" w:cs="Times New Roman"/>
          <w:b/>
          <w:sz w:val="24"/>
          <w:lang w:val="es-MX"/>
        </w:rPr>
        <w:t>Lenguaje y comunicación</w:t>
      </w:r>
    </w:p>
    <w:p w:rsid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Hablan libremente sobre diversos temas, la gran mayoría del grupo tiene un lenguaje fluido y claro, conservan un diálogo por un largo tiempo centrándose en un tema ya sea con sus iguales o con adultos, exponen información sobre algún tema, comprenden y explica pasos para realizar juegos de acuerdo con su maduración</w:t>
      </w:r>
      <w:r w:rsidRPr="00CE6C24">
        <w:t xml:space="preserve"> </w:t>
      </w:r>
      <w:r w:rsidRPr="00CE6C24">
        <w:rPr>
          <w:rFonts w:ascii="Times New Roman" w:hAnsi="Times New Roman" w:cs="Times New Roman"/>
          <w:sz w:val="24"/>
          <w:lang w:val="es-MX"/>
        </w:rPr>
        <w:t>Les gustan los libros y cuentos los cuales interpretan guiándose por los dibujos, relacionan sucesos familiares con cuentos, películas o anécdotas de otro compañero, se ubican en el espacio gráfico en relación con: se empieza a escribir de arriba a abajo, de izquierda a derecha. La gran mayoría ha desarrollado su motricidad fina, toman el lápiz de manera correcta, colorean dentro del dentro del contorno y logran escribir e identificar su nombre en diversas situaciones y con diversos propósitos.</w:t>
      </w:r>
    </w:p>
    <w:p w:rsidR="00CE6C24" w:rsidRDefault="00CE6C24" w:rsidP="00CE6C24">
      <w:pPr>
        <w:spacing w:after="0" w:line="360" w:lineRule="auto"/>
        <w:rPr>
          <w:rFonts w:ascii="Times New Roman" w:hAnsi="Times New Roman" w:cs="Times New Roman"/>
          <w:sz w:val="24"/>
          <w:lang w:val="es-MX"/>
        </w:rPr>
      </w:pPr>
    </w:p>
    <w:p w:rsidR="00CE6C24" w:rsidRPr="002F2B9D" w:rsidRDefault="00CE6C24" w:rsidP="00CE6C24">
      <w:pPr>
        <w:spacing w:after="0" w:line="360" w:lineRule="auto"/>
        <w:rPr>
          <w:rFonts w:ascii="Times New Roman" w:hAnsi="Times New Roman" w:cs="Times New Roman"/>
          <w:b/>
          <w:sz w:val="24"/>
          <w:lang w:val="es-MX"/>
        </w:rPr>
      </w:pPr>
      <w:r w:rsidRPr="00CE6C24">
        <w:rPr>
          <w:rFonts w:ascii="Times New Roman" w:hAnsi="Times New Roman" w:cs="Times New Roman"/>
          <w:sz w:val="24"/>
          <w:lang w:val="es-MX"/>
        </w:rPr>
        <w:t>•</w:t>
      </w:r>
      <w:r w:rsidRPr="00CE6C24">
        <w:rPr>
          <w:rFonts w:ascii="Times New Roman" w:hAnsi="Times New Roman" w:cs="Times New Roman"/>
          <w:sz w:val="24"/>
          <w:lang w:val="es-MX"/>
        </w:rPr>
        <w:tab/>
      </w:r>
      <w:r w:rsidR="002F2B9D">
        <w:rPr>
          <w:rFonts w:ascii="Times New Roman" w:hAnsi="Times New Roman" w:cs="Times New Roman"/>
          <w:b/>
          <w:sz w:val="24"/>
          <w:lang w:val="es-MX"/>
        </w:rPr>
        <w:t>Pensamiento matemático</w:t>
      </w:r>
    </w:p>
    <w:p w:rsid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Conocen los números en formas ascendente, cuentan objetos máximos hasta 15, realizan clasificaciones tomando en cuenta diversos atributos cualitativos y cuantitativos, reconocen las figuras geométricas como círculo, cuadrado y triángulo, utilizan referencias personales para ubicarse en los lugares arriba, abajo, adentro, lejos, cerca.</w:t>
      </w:r>
    </w:p>
    <w:p w:rsidR="00CE6C24" w:rsidRDefault="00CE6C24" w:rsidP="00CE6C24">
      <w:pPr>
        <w:spacing w:after="0" w:line="360" w:lineRule="auto"/>
        <w:rPr>
          <w:rFonts w:ascii="Times New Roman" w:hAnsi="Times New Roman" w:cs="Times New Roman"/>
          <w:sz w:val="24"/>
          <w:lang w:val="es-MX"/>
        </w:rPr>
      </w:pPr>
    </w:p>
    <w:p w:rsidR="00CE6C24" w:rsidRP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w:t>
      </w:r>
      <w:r w:rsidRPr="00CE6C24">
        <w:rPr>
          <w:rFonts w:ascii="Times New Roman" w:hAnsi="Times New Roman" w:cs="Times New Roman"/>
          <w:sz w:val="24"/>
          <w:lang w:val="es-MX"/>
        </w:rPr>
        <w:tab/>
      </w:r>
      <w:r w:rsidRPr="002F2B9D">
        <w:rPr>
          <w:rFonts w:ascii="Times New Roman" w:hAnsi="Times New Roman" w:cs="Times New Roman"/>
          <w:b/>
          <w:sz w:val="24"/>
          <w:lang w:val="es-MX"/>
        </w:rPr>
        <w:t>Exploración y comprensión del mundo natural y social</w:t>
      </w:r>
    </w:p>
    <w:p w:rsidR="00CE6C24" w:rsidRP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Manipulan objetos que están a su alcance, observan y describen lo que ven y con palabras sencillas describen acontecimientos que analizan, expresan preguntas espontáneas para dar solución a sus dudas, algunos niños son capaces de expresar sus propias ideas de cómo y porqué creen que ocurren ciertos fenómenos.</w:t>
      </w:r>
    </w:p>
    <w:p w:rsidR="00CE6C24" w:rsidRPr="00CE6C24" w:rsidRDefault="00CE6C24" w:rsidP="00CE6C24">
      <w:pPr>
        <w:spacing w:after="0" w:line="360" w:lineRule="auto"/>
        <w:rPr>
          <w:rFonts w:ascii="Times New Roman" w:hAnsi="Times New Roman" w:cs="Times New Roman"/>
          <w:sz w:val="24"/>
          <w:lang w:val="es-MX"/>
        </w:rPr>
      </w:pPr>
    </w:p>
    <w:p w:rsidR="00CE6C24" w:rsidRP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w:t>
      </w:r>
      <w:r w:rsidRPr="00CE6C24">
        <w:rPr>
          <w:rFonts w:ascii="Times New Roman" w:hAnsi="Times New Roman" w:cs="Times New Roman"/>
          <w:sz w:val="24"/>
          <w:lang w:val="es-MX"/>
        </w:rPr>
        <w:tab/>
      </w:r>
      <w:r w:rsidRPr="002F2B9D">
        <w:rPr>
          <w:rFonts w:ascii="Times New Roman" w:hAnsi="Times New Roman" w:cs="Times New Roman"/>
          <w:b/>
          <w:sz w:val="24"/>
          <w:lang w:val="es-MX"/>
        </w:rPr>
        <w:t>Artes</w:t>
      </w:r>
    </w:p>
    <w:p w:rsidR="00CE6C24" w:rsidRP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Les gusta cantar canciones, seguir ritmos, memorizar melodías, bailan libremente al escuchar música que es de su agrado, improvisan movimientos en la escuchar una melodía hacer uso de varias técnicas para producir obras visuales llama mucho su atención al igual que su participan en juegos simbólicos.</w:t>
      </w:r>
    </w:p>
    <w:p w:rsidR="00CE6C24" w:rsidRPr="00CE6C24" w:rsidRDefault="00CE6C24" w:rsidP="00CE6C24">
      <w:pPr>
        <w:spacing w:after="0" w:line="360" w:lineRule="auto"/>
        <w:rPr>
          <w:rFonts w:ascii="Times New Roman" w:hAnsi="Times New Roman" w:cs="Times New Roman"/>
          <w:sz w:val="24"/>
          <w:lang w:val="es-MX"/>
        </w:rPr>
      </w:pPr>
    </w:p>
    <w:p w:rsidR="00CE6C24" w:rsidRPr="00CE6C24" w:rsidRDefault="00CE6C24" w:rsidP="00CE6C24">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w:t>
      </w:r>
      <w:r w:rsidRPr="00CE6C24">
        <w:rPr>
          <w:rFonts w:ascii="Times New Roman" w:hAnsi="Times New Roman" w:cs="Times New Roman"/>
          <w:sz w:val="24"/>
          <w:lang w:val="es-MX"/>
        </w:rPr>
        <w:tab/>
      </w:r>
      <w:r w:rsidRPr="002F2B9D">
        <w:rPr>
          <w:rFonts w:ascii="Times New Roman" w:hAnsi="Times New Roman" w:cs="Times New Roman"/>
          <w:b/>
          <w:sz w:val="24"/>
          <w:lang w:val="es-MX"/>
        </w:rPr>
        <w:t>Educación socioemocional</w:t>
      </w:r>
      <w:r w:rsidRPr="00CE6C24">
        <w:rPr>
          <w:rFonts w:ascii="Times New Roman" w:hAnsi="Times New Roman" w:cs="Times New Roman"/>
          <w:sz w:val="24"/>
          <w:lang w:val="es-MX"/>
        </w:rPr>
        <w:t xml:space="preserve"> </w:t>
      </w:r>
    </w:p>
    <w:p w:rsidR="002F2B9D" w:rsidRDefault="00CE6C24" w:rsidP="002F2B9D">
      <w:pPr>
        <w:spacing w:after="0" w:line="360" w:lineRule="auto"/>
        <w:rPr>
          <w:rFonts w:ascii="Times New Roman" w:hAnsi="Times New Roman" w:cs="Times New Roman"/>
          <w:sz w:val="24"/>
          <w:lang w:val="es-MX"/>
        </w:rPr>
      </w:pPr>
      <w:r w:rsidRPr="00CE6C24">
        <w:rPr>
          <w:rFonts w:ascii="Times New Roman" w:hAnsi="Times New Roman" w:cs="Times New Roman"/>
          <w:sz w:val="24"/>
          <w:lang w:val="es-MX"/>
        </w:rPr>
        <w:t>Reconocen y expresan características personales: su nombre, cómo es físicamente, qué le gusta, qué no le gusta, qué se le facilita y qué se le dificulta, reconocen y nombran situaciones que le generan alegría, seguridad, tristeza, miedo o enojo, y expresan lo que siente, solicitan ayuda cuando lo necesitan y muestran su apoyo a los compañeros que requieren de este, al</w:t>
      </w:r>
      <w:r w:rsidR="002F2B9D" w:rsidRPr="002F2B9D">
        <w:t xml:space="preserve"> </w:t>
      </w:r>
      <w:r w:rsidR="002F2B9D" w:rsidRPr="002F2B9D">
        <w:rPr>
          <w:rFonts w:ascii="Times New Roman" w:hAnsi="Times New Roman" w:cs="Times New Roman"/>
          <w:sz w:val="24"/>
          <w:lang w:val="es-MX"/>
        </w:rPr>
        <w:t xml:space="preserve">de </w:t>
      </w:r>
      <w:r w:rsidR="002F2B9D" w:rsidRPr="002F2B9D">
        <w:rPr>
          <w:rFonts w:ascii="Times New Roman" w:hAnsi="Times New Roman" w:cs="Times New Roman"/>
          <w:sz w:val="24"/>
          <w:lang w:val="es-MX"/>
        </w:rPr>
        <w:lastRenderedPageBreak/>
        <w:t>acuerdo Bourcier, ya que en esta edad los alumnos no logran expresar sus emociones, necesidades y deseos y el único medio para hacerlo es a través de estas actitudes, en preescolar podemos distinguir este tipo de eventos con regularidad en especial en los primeros años, conforme el niño crece y socializa estas acciones empiezan a menguar y se abre paso el diálogo y la comunicación asertiva para dar soluciones a problemas y expresarse significativamente. También logré observar que generalmente muestran mayor afecto a los niños que son del mismo sexo ya que tienen afinidad en cuanto al tipo de juegos. (2012)</w:t>
      </w:r>
    </w:p>
    <w:p w:rsidR="002F2B9D" w:rsidRPr="002F2B9D" w:rsidRDefault="002F2B9D" w:rsidP="002F2B9D">
      <w:pPr>
        <w:spacing w:after="0" w:line="360" w:lineRule="auto"/>
        <w:rPr>
          <w:rFonts w:ascii="Times New Roman" w:hAnsi="Times New Roman" w:cs="Times New Roman"/>
          <w:sz w:val="24"/>
          <w:lang w:val="es-MX"/>
        </w:rPr>
      </w:pPr>
    </w:p>
    <w:p w:rsidR="002F2B9D" w:rsidRDefault="002F2B9D" w:rsidP="002F2B9D">
      <w:pPr>
        <w:spacing w:after="0" w:line="360" w:lineRule="auto"/>
        <w:rPr>
          <w:rFonts w:ascii="Times New Roman" w:hAnsi="Times New Roman" w:cs="Times New Roman"/>
          <w:sz w:val="24"/>
          <w:lang w:val="es-MX"/>
        </w:rPr>
      </w:pPr>
      <w:r w:rsidRPr="002F2B9D">
        <w:rPr>
          <w:rFonts w:ascii="Times New Roman" w:hAnsi="Times New Roman" w:cs="Times New Roman"/>
          <w:sz w:val="24"/>
          <w:lang w:val="es-MX"/>
        </w:rPr>
        <w:t xml:space="preserve"> Como enmarca el programa de Aprendizajes Clave el desarrollar sus habilidades sociales en el aula constituye un espacio que posibilita la socialización y al conocimiento reconocimiento de los demás y del “yo” como miembro de un grupo, la sociabilización es un proceso interactivo necesario para el niño y el grupo social donde se desenvuelve, por ello es muy importante tomar en cuenta este campo formativo para lograr un desarrollo de alumnos competentes para la vida. [Secretaria de Educación Pública (SEP, 2018)]</w:t>
      </w:r>
    </w:p>
    <w:p w:rsidR="00FA3BED" w:rsidRPr="002F2B9D" w:rsidRDefault="00FA3BED" w:rsidP="002F2B9D">
      <w:pPr>
        <w:spacing w:after="0" w:line="360" w:lineRule="auto"/>
        <w:rPr>
          <w:rFonts w:ascii="Times New Roman" w:hAnsi="Times New Roman" w:cs="Times New Roman"/>
          <w:sz w:val="24"/>
          <w:lang w:val="es-MX"/>
        </w:rPr>
      </w:pPr>
    </w:p>
    <w:p w:rsidR="002F2B9D" w:rsidRPr="002F2B9D" w:rsidRDefault="002F2B9D" w:rsidP="002F2B9D">
      <w:pPr>
        <w:spacing w:after="0" w:line="360" w:lineRule="auto"/>
        <w:rPr>
          <w:rFonts w:ascii="Times New Roman" w:hAnsi="Times New Roman" w:cs="Times New Roman"/>
          <w:b/>
          <w:sz w:val="24"/>
          <w:lang w:val="es-MX"/>
        </w:rPr>
      </w:pPr>
      <w:r w:rsidRPr="002F2B9D">
        <w:rPr>
          <w:rFonts w:ascii="Times New Roman" w:hAnsi="Times New Roman" w:cs="Times New Roman"/>
          <w:sz w:val="24"/>
          <w:lang w:val="es-MX"/>
        </w:rPr>
        <w:t>•</w:t>
      </w:r>
      <w:r w:rsidRPr="002F2B9D">
        <w:rPr>
          <w:rFonts w:ascii="Times New Roman" w:hAnsi="Times New Roman" w:cs="Times New Roman"/>
          <w:sz w:val="24"/>
          <w:lang w:val="es-MX"/>
        </w:rPr>
        <w:tab/>
      </w:r>
      <w:r w:rsidRPr="002F2B9D">
        <w:rPr>
          <w:rFonts w:ascii="Times New Roman" w:hAnsi="Times New Roman" w:cs="Times New Roman"/>
          <w:b/>
          <w:sz w:val="24"/>
          <w:lang w:val="es-MX"/>
        </w:rPr>
        <w:t xml:space="preserve">Educación física </w:t>
      </w:r>
    </w:p>
    <w:p w:rsidR="00FA3BED" w:rsidRPr="002F2B9D" w:rsidRDefault="002F2B9D" w:rsidP="002F2B9D">
      <w:pPr>
        <w:spacing w:after="0" w:line="360" w:lineRule="auto"/>
        <w:rPr>
          <w:rFonts w:ascii="Times New Roman" w:hAnsi="Times New Roman" w:cs="Times New Roman"/>
          <w:sz w:val="24"/>
          <w:lang w:val="es-MX"/>
        </w:rPr>
      </w:pPr>
      <w:r w:rsidRPr="002F2B9D">
        <w:rPr>
          <w:rFonts w:ascii="Times New Roman" w:hAnsi="Times New Roman" w:cs="Times New Roman"/>
          <w:sz w:val="24"/>
          <w:lang w:val="es-MX"/>
        </w:rPr>
        <w:t xml:space="preserve">Se logra apreciar que no tiene mucho problema ya que en las actividades que realizan los niños pueden saltar, correr, manipular, caminar en punta-talón, agacharse, tienen equilibrio y de igual manera utilizan herramientas, instrumentos y materiales en actividades que requieren de control </w:t>
      </w:r>
      <w:r w:rsidR="00FA3BED">
        <w:rPr>
          <w:rFonts w:ascii="Times New Roman" w:hAnsi="Times New Roman" w:cs="Times New Roman"/>
          <w:sz w:val="24"/>
          <w:lang w:val="es-MX"/>
        </w:rPr>
        <w:t>y precisión en sus movimientos.</w:t>
      </w:r>
    </w:p>
    <w:p w:rsidR="002F2B9D" w:rsidRPr="002F2B9D" w:rsidRDefault="002F2B9D" w:rsidP="002F2B9D">
      <w:pPr>
        <w:spacing w:after="0" w:line="360" w:lineRule="auto"/>
        <w:rPr>
          <w:rFonts w:ascii="Times New Roman" w:hAnsi="Times New Roman" w:cs="Times New Roman"/>
          <w:sz w:val="24"/>
          <w:lang w:val="es-MX"/>
        </w:rPr>
      </w:pPr>
      <w:r>
        <w:rPr>
          <w:rFonts w:ascii="Times New Roman" w:hAnsi="Times New Roman" w:cs="Times New Roman"/>
          <w:sz w:val="24"/>
          <w:lang w:val="es-MX"/>
        </w:rPr>
        <w:t>E</w:t>
      </w:r>
      <w:r w:rsidRPr="002F2B9D">
        <w:rPr>
          <w:rFonts w:ascii="Times New Roman" w:hAnsi="Times New Roman" w:cs="Times New Roman"/>
          <w:sz w:val="24"/>
          <w:lang w:val="es-MX"/>
        </w:rPr>
        <w:t xml:space="preserve">l 61% de ellos tiene un estilo de aprendizaje kinestésico, 34% visual y sólo el 5% auditivo. El reconocer la manera en que nuestros alumnos aprenden nos brindan las herramientas para poder organizar las actividades, materiales y la metodología para llevar un conocimiento significativo. Como menciona </w:t>
      </w:r>
      <w:proofErr w:type="spellStart"/>
      <w:r w:rsidRPr="002F2B9D">
        <w:rPr>
          <w:rFonts w:ascii="Times New Roman" w:hAnsi="Times New Roman" w:cs="Times New Roman"/>
          <w:sz w:val="24"/>
          <w:lang w:val="es-MX"/>
        </w:rPr>
        <w:t>Kolh</w:t>
      </w:r>
      <w:proofErr w:type="spellEnd"/>
      <w:r w:rsidRPr="002F2B9D">
        <w:rPr>
          <w:rFonts w:ascii="Times New Roman" w:hAnsi="Times New Roman" w:cs="Times New Roman"/>
          <w:sz w:val="24"/>
          <w:lang w:val="es-MX"/>
        </w:rPr>
        <w:t>, no existe una sola forma de aprender, cada persona tiene una forma o estilo particular de establecer relación con el mundo y por lo tanto para aprender. (2000)</w:t>
      </w:r>
    </w:p>
    <w:p w:rsidR="002F2B9D" w:rsidRDefault="002F2B9D" w:rsidP="002F2B9D">
      <w:pPr>
        <w:spacing w:after="0" w:line="360" w:lineRule="auto"/>
        <w:rPr>
          <w:rFonts w:ascii="Times New Roman" w:hAnsi="Times New Roman" w:cs="Times New Roman"/>
          <w:sz w:val="24"/>
          <w:lang w:val="es-MX"/>
        </w:rPr>
      </w:pPr>
    </w:p>
    <w:p w:rsidR="002F2B9D" w:rsidRDefault="002F2B9D" w:rsidP="002F2B9D">
      <w:pPr>
        <w:spacing w:after="0" w:line="360" w:lineRule="auto"/>
        <w:rPr>
          <w:rFonts w:ascii="Times New Roman" w:hAnsi="Times New Roman" w:cs="Times New Roman"/>
          <w:sz w:val="24"/>
          <w:lang w:val="es-MX"/>
        </w:rPr>
      </w:pPr>
      <w:r w:rsidRPr="002F2B9D">
        <w:rPr>
          <w:rFonts w:ascii="Times New Roman" w:hAnsi="Times New Roman" w:cs="Times New Roman"/>
          <w:sz w:val="24"/>
          <w:lang w:val="es-MX"/>
        </w:rPr>
        <w:t>Considero que el no tener representaciones mentales sobre los números y las letras de su nombre no permite que ellos puedan participar en las actividades de manera activa, pueden con facilidad copiar si alguien más los escribe por lo que su motrici</w:t>
      </w:r>
      <w:r w:rsidR="00FA3BED">
        <w:rPr>
          <w:rFonts w:ascii="Times New Roman" w:hAnsi="Times New Roman" w:cs="Times New Roman"/>
          <w:sz w:val="24"/>
          <w:lang w:val="es-MX"/>
        </w:rPr>
        <w:t xml:space="preserve">dad aquí no es ningún </w:t>
      </w:r>
      <w:proofErr w:type="spellStart"/>
      <w:r w:rsidR="00FA3BED">
        <w:rPr>
          <w:rFonts w:ascii="Times New Roman" w:hAnsi="Times New Roman" w:cs="Times New Roman"/>
          <w:sz w:val="24"/>
          <w:lang w:val="es-MX"/>
        </w:rPr>
        <w:t>problema.</w:t>
      </w:r>
      <w:r w:rsidRPr="002F2B9D">
        <w:rPr>
          <w:rFonts w:ascii="Times New Roman" w:hAnsi="Times New Roman" w:cs="Times New Roman"/>
          <w:sz w:val="24"/>
          <w:lang w:val="es-MX"/>
        </w:rPr>
        <w:t>Una</w:t>
      </w:r>
      <w:proofErr w:type="spellEnd"/>
      <w:r w:rsidRPr="002F2B9D">
        <w:rPr>
          <w:rFonts w:ascii="Times New Roman" w:hAnsi="Times New Roman" w:cs="Times New Roman"/>
          <w:sz w:val="24"/>
          <w:lang w:val="es-MX"/>
        </w:rPr>
        <w:t xml:space="preserve"> barrera que se presenta también es en cuanto a su desarrollo socioemocional, los alumnos aún no han desarrollado una inteligencia emocional que les ayude a sobrellevar sus sentimientos, convivir democráticamente y resolver problemas de manera pacífica, alguna falta desarrollar su autoestima y autoconcepto, algunos alumnos no logran expresarse y </w:t>
      </w:r>
      <w:r w:rsidRPr="002F2B9D">
        <w:rPr>
          <w:rFonts w:ascii="Times New Roman" w:hAnsi="Times New Roman" w:cs="Times New Roman"/>
          <w:sz w:val="24"/>
          <w:lang w:val="es-MX"/>
        </w:rPr>
        <w:lastRenderedPageBreak/>
        <w:t>considero que, este también es factor para que presenten problemas en los campos de formación académica.</w:t>
      </w:r>
    </w:p>
    <w:p w:rsidR="002F2B9D" w:rsidRDefault="002F2B9D" w:rsidP="002F2B9D">
      <w:pPr>
        <w:spacing w:after="0" w:line="360" w:lineRule="auto"/>
        <w:rPr>
          <w:rFonts w:ascii="Times New Roman" w:hAnsi="Times New Roman" w:cs="Times New Roman"/>
          <w:sz w:val="24"/>
          <w:lang w:val="es-MX"/>
        </w:rPr>
      </w:pPr>
    </w:p>
    <w:p w:rsidR="002F2B9D" w:rsidRDefault="002F2B9D" w:rsidP="002F2B9D">
      <w:pPr>
        <w:spacing w:after="0" w:line="360" w:lineRule="auto"/>
        <w:rPr>
          <w:rFonts w:ascii="Times New Roman" w:hAnsi="Times New Roman" w:cs="Times New Roman"/>
          <w:sz w:val="24"/>
          <w:lang w:val="es-MX"/>
        </w:rPr>
      </w:pPr>
      <w:r w:rsidRPr="002F2B9D">
        <w:rPr>
          <w:rFonts w:ascii="Times New Roman" w:hAnsi="Times New Roman" w:cs="Times New Roman"/>
          <w:sz w:val="24"/>
          <w:lang w:val="es-MX"/>
        </w:rPr>
        <w:t xml:space="preserve">Rosa Blanco (2000) lo enmarca en su libro, los componente afectivos y relacionales son fundamentales para que los alumnos atribuyan sentido a lo que aprenden, el aprendizaje está muy relacionado con el autoconcepto y la autoestima, de tal forma que aquellos alumnos que tienen un bajo nivel de autoestima tienen resultados no tan favorables. </w:t>
      </w:r>
    </w:p>
    <w:p w:rsidR="002F2B9D" w:rsidRPr="002F2B9D" w:rsidRDefault="002F2B9D" w:rsidP="002F2B9D">
      <w:pPr>
        <w:spacing w:after="0" w:line="360" w:lineRule="auto"/>
        <w:rPr>
          <w:rFonts w:ascii="Times New Roman" w:hAnsi="Times New Roman" w:cs="Times New Roman"/>
          <w:sz w:val="24"/>
          <w:lang w:val="es-MX"/>
        </w:rPr>
      </w:pPr>
    </w:p>
    <w:p w:rsidR="002F2B9D" w:rsidRDefault="002F2B9D" w:rsidP="002F2B9D">
      <w:pPr>
        <w:spacing w:after="0" w:line="360" w:lineRule="auto"/>
        <w:rPr>
          <w:rFonts w:ascii="Times New Roman" w:hAnsi="Times New Roman" w:cs="Times New Roman"/>
          <w:sz w:val="24"/>
          <w:lang w:val="es-MX"/>
        </w:rPr>
      </w:pPr>
      <w:r w:rsidRPr="002F2B9D">
        <w:rPr>
          <w:rFonts w:ascii="Times New Roman" w:hAnsi="Times New Roman" w:cs="Times New Roman"/>
          <w:sz w:val="24"/>
          <w:lang w:val="es-MX"/>
        </w:rPr>
        <w:t>La Secretaria de Educación Pública también puntualiza que el aprendizaje emocional nos ayuda a equilibrar nuestra vida, ya que al conocer nuestras emociones y la de nuestros semejantes podremos controlar y entender nuestros sentimientos, aumentar nuestra capacidad para resolver situaciones de conflicto y ser empáticos con los demás. (2011)</w:t>
      </w:r>
    </w:p>
    <w:p w:rsidR="002F2B9D" w:rsidRDefault="002F2B9D" w:rsidP="002F2B9D">
      <w:pPr>
        <w:spacing w:after="0" w:line="360" w:lineRule="auto"/>
        <w:rPr>
          <w:rFonts w:ascii="Times New Roman" w:hAnsi="Times New Roman" w:cs="Times New Roman"/>
          <w:sz w:val="24"/>
          <w:lang w:val="es-MX"/>
        </w:rPr>
      </w:pPr>
    </w:p>
    <w:p w:rsidR="002F2B9D" w:rsidRPr="002F2B9D" w:rsidRDefault="002F2B9D" w:rsidP="002F2B9D">
      <w:pPr>
        <w:spacing w:after="0" w:line="360" w:lineRule="auto"/>
        <w:rPr>
          <w:rFonts w:ascii="Times New Roman" w:hAnsi="Times New Roman" w:cs="Times New Roman"/>
          <w:b/>
          <w:sz w:val="28"/>
          <w:lang w:val="es-MX"/>
        </w:rPr>
      </w:pPr>
      <w:r w:rsidRPr="002F2B9D">
        <w:rPr>
          <w:rFonts w:ascii="Times New Roman" w:hAnsi="Times New Roman" w:cs="Times New Roman"/>
          <w:b/>
          <w:sz w:val="28"/>
          <w:lang w:val="es-MX"/>
        </w:rPr>
        <w:t xml:space="preserve">Conclusiones </w:t>
      </w:r>
    </w:p>
    <w:p w:rsidR="002F2B9D" w:rsidRPr="002F2B9D" w:rsidRDefault="002F2B9D" w:rsidP="002F2B9D">
      <w:pPr>
        <w:spacing w:after="0" w:line="360" w:lineRule="auto"/>
        <w:rPr>
          <w:rFonts w:ascii="Times New Roman" w:hAnsi="Times New Roman" w:cs="Times New Roman"/>
          <w:sz w:val="24"/>
          <w:lang w:val="es-MX"/>
        </w:rPr>
      </w:pPr>
      <w:r w:rsidRPr="002F2B9D">
        <w:rPr>
          <w:rFonts w:ascii="Times New Roman" w:hAnsi="Times New Roman" w:cs="Times New Roman"/>
          <w:sz w:val="24"/>
          <w:lang w:val="es-MX"/>
        </w:rPr>
        <w:t>Los alumnos son inquietos y activos, manifiestan gusto por trabajar, lo hacen en cuanto a la medida de sus posibilidades y se apoyan unos a otros, la ayuda entre pares es algo que dentro del grupo se ve de manera significativa ya que es considerado como un factor importante para la consolidación de nuevos aprendizajes, como dice Díaz Barriga el docente debe ser mediador entre el conocimiento, la cultura y el alumno, él es un guía para el estudiante ya que éste no construye el conocimiento solo si no con ayuda de otros que cuenten con un nivel cognitivo igual o superior.</w:t>
      </w:r>
      <w:r w:rsidR="00FA3BED">
        <w:rPr>
          <w:rFonts w:ascii="Times New Roman" w:hAnsi="Times New Roman" w:cs="Times New Roman"/>
          <w:sz w:val="24"/>
          <w:lang w:val="es-MX"/>
        </w:rPr>
        <w:t xml:space="preserve"> </w:t>
      </w:r>
    </w:p>
    <w:p w:rsidR="002F2B9D" w:rsidRPr="002F2B9D" w:rsidRDefault="002F2B9D" w:rsidP="002F2B9D">
      <w:pPr>
        <w:spacing w:after="0" w:line="360" w:lineRule="auto"/>
        <w:rPr>
          <w:rFonts w:ascii="Times New Roman" w:hAnsi="Times New Roman" w:cs="Times New Roman"/>
          <w:sz w:val="24"/>
          <w:lang w:val="es-MX"/>
        </w:rPr>
      </w:pPr>
      <w:r w:rsidRPr="002F2B9D">
        <w:rPr>
          <w:rFonts w:ascii="Times New Roman" w:hAnsi="Times New Roman" w:cs="Times New Roman"/>
          <w:sz w:val="24"/>
          <w:lang w:val="es-MX"/>
        </w:rPr>
        <w:t>La interrelación de parte de los alumnos con la maestra es con respeto y afectividad, hay dos alumnos que son violentos en cuanto a su lenguaje y lo expresan con la maestra, a esto la maestra aplica disciplina de una manera sensata y paciente, ya que siempre habla con cariño y respeto a los alumnos, los niños son tranquillos y cuando se empieza a crear un ambiente de desorden, se comienza a llamar la atención de manera grupal, si los niños atienden la maestra sigue impartiendo la clase y si no llama la atención de manera personal y habla con los alumnos que provocan el mal comportamiento, trata siempre de sentarlos conforme a sus características, nunca pone a los más traviesos en una misma mesa, s</w:t>
      </w:r>
      <w:r w:rsidR="00FA3BED">
        <w:rPr>
          <w:rFonts w:ascii="Times New Roman" w:hAnsi="Times New Roman" w:cs="Times New Roman"/>
          <w:sz w:val="24"/>
          <w:lang w:val="es-MX"/>
        </w:rPr>
        <w:t>i no que equilibra los equipos.</w:t>
      </w:r>
      <w:r w:rsidRPr="002F2B9D">
        <w:rPr>
          <w:rFonts w:ascii="Times New Roman" w:hAnsi="Times New Roman" w:cs="Times New Roman"/>
          <w:sz w:val="24"/>
          <w:lang w:val="es-MX"/>
        </w:rPr>
        <w:t xml:space="preserve"> Todos los alumnos se comunican a través de palabras o frases bien estructuradas y gesticulaciones para poderse dar a entender, sus diálogos son largos, fluidos y comprensibles. El contexto influye en el uso de la lengua, ya que algunos alumnos hablan con maldiciones o </w:t>
      </w:r>
    </w:p>
    <w:p w:rsidR="002F2B9D" w:rsidRPr="002F2B9D" w:rsidRDefault="002F2B9D" w:rsidP="002F2B9D">
      <w:pPr>
        <w:spacing w:after="0" w:line="360" w:lineRule="auto"/>
        <w:rPr>
          <w:rFonts w:ascii="Times New Roman" w:hAnsi="Times New Roman" w:cs="Times New Roman"/>
          <w:b/>
          <w:sz w:val="28"/>
          <w:lang w:val="es-MX"/>
        </w:rPr>
      </w:pPr>
      <w:r w:rsidRPr="002F2B9D">
        <w:rPr>
          <w:rFonts w:ascii="Times New Roman" w:hAnsi="Times New Roman" w:cs="Times New Roman"/>
          <w:sz w:val="24"/>
          <w:lang w:val="es-MX"/>
        </w:rPr>
        <w:t>toman expresiones no aptas a su edad.</w:t>
      </w:r>
    </w:p>
    <w:p w:rsidR="00E0187E" w:rsidRDefault="00E0187E" w:rsidP="00E0187E">
      <w:pPr>
        <w:rPr>
          <w:noProof/>
          <w:lang w:eastAsia="es-MX"/>
        </w:rPr>
      </w:pPr>
    </w:p>
    <w:tbl>
      <w:tblPr>
        <w:tblW w:w="5000" w:type="pct"/>
        <w:tblCellMar>
          <w:left w:w="0" w:type="dxa"/>
          <w:right w:w="0" w:type="dxa"/>
        </w:tblCellMar>
        <w:tblLook w:val="0420" w:firstRow="1" w:lastRow="0" w:firstColumn="0" w:lastColumn="0" w:noHBand="0" w:noVBand="1"/>
      </w:tblPr>
      <w:tblGrid>
        <w:gridCol w:w="1279"/>
        <w:gridCol w:w="1627"/>
        <w:gridCol w:w="1627"/>
        <w:gridCol w:w="1449"/>
        <w:gridCol w:w="1390"/>
        <w:gridCol w:w="1678"/>
      </w:tblGrid>
      <w:tr w:rsidR="00E0187E" w:rsidRPr="009121C6" w:rsidTr="00E0187E">
        <w:trPr>
          <w:trHeight w:val="295"/>
        </w:trPr>
        <w:tc>
          <w:tcPr>
            <w:tcW w:w="781" w:type="pct"/>
            <w:vMerge w:val="restart"/>
            <w:tcBorders>
              <w:top w:val="single" w:sz="8" w:space="0" w:color="FFFFFF"/>
              <w:left w:val="single" w:sz="8" w:space="0" w:color="FFFFFF"/>
              <w:bottom w:val="single" w:sz="24" w:space="0" w:color="FFFFFF"/>
              <w:right w:val="single" w:sz="8" w:space="0" w:color="FFFFFF"/>
            </w:tcBorders>
            <w:shd w:val="clear" w:color="auto" w:fill="83992A"/>
            <w:tcMar>
              <w:top w:w="15" w:type="dxa"/>
              <w:left w:w="108" w:type="dxa"/>
              <w:bottom w:w="0" w:type="dxa"/>
              <w:right w:w="108" w:type="dxa"/>
            </w:tcMar>
            <w:vAlign w:val="center"/>
            <w:hideMark/>
          </w:tcPr>
          <w:p w:rsidR="00E0187E" w:rsidRPr="009121C6" w:rsidRDefault="00E0187E" w:rsidP="007A69CC">
            <w:pPr>
              <w:rPr>
                <w:sz w:val="20"/>
                <w:szCs w:val="20"/>
              </w:rPr>
            </w:pPr>
            <w:r w:rsidRPr="009121C6">
              <w:rPr>
                <w:b/>
                <w:bCs/>
                <w:sz w:val="20"/>
                <w:szCs w:val="20"/>
                <w:lang w:val="es-ES"/>
              </w:rPr>
              <w:lastRenderedPageBreak/>
              <w:t>Rúbrica</w:t>
            </w:r>
          </w:p>
          <w:p w:rsidR="00E0187E" w:rsidRPr="009121C6" w:rsidRDefault="00E0187E" w:rsidP="007A69CC">
            <w:pPr>
              <w:rPr>
                <w:sz w:val="20"/>
                <w:szCs w:val="20"/>
              </w:rPr>
            </w:pPr>
            <w:r w:rsidRPr="009121C6">
              <w:rPr>
                <w:b/>
                <w:bCs/>
                <w:sz w:val="20"/>
                <w:szCs w:val="20"/>
                <w:lang w:val="es-ES"/>
              </w:rPr>
              <w:t>Ensayo</w:t>
            </w:r>
          </w:p>
          <w:p w:rsidR="00E0187E" w:rsidRPr="009121C6" w:rsidRDefault="00E0187E" w:rsidP="007A69CC">
            <w:pPr>
              <w:rPr>
                <w:sz w:val="20"/>
                <w:szCs w:val="20"/>
              </w:rPr>
            </w:pPr>
            <w:r w:rsidRPr="009121C6">
              <w:rPr>
                <w:b/>
                <w:bCs/>
                <w:sz w:val="20"/>
                <w:szCs w:val="20"/>
                <w:lang w:val="es-ES"/>
              </w:rPr>
              <w:t>Criterios</w:t>
            </w:r>
          </w:p>
        </w:tc>
        <w:tc>
          <w:tcPr>
            <w:tcW w:w="4219" w:type="pct"/>
            <w:gridSpan w:val="5"/>
            <w:tcBorders>
              <w:top w:val="single" w:sz="8" w:space="0" w:color="FFFFFF"/>
              <w:left w:val="single" w:sz="8" w:space="0" w:color="FFFFFF"/>
              <w:bottom w:val="single" w:sz="24" w:space="0" w:color="FFFFFF"/>
              <w:right w:val="single" w:sz="8" w:space="0" w:color="FFFFFF"/>
            </w:tcBorders>
            <w:shd w:val="clear" w:color="auto" w:fill="83992A"/>
            <w:tcMar>
              <w:top w:w="15" w:type="dxa"/>
              <w:left w:w="108" w:type="dxa"/>
              <w:bottom w:w="0" w:type="dxa"/>
              <w:right w:w="108" w:type="dxa"/>
            </w:tcMar>
            <w:vAlign w:val="center"/>
            <w:hideMark/>
          </w:tcPr>
          <w:p w:rsidR="00E0187E" w:rsidRPr="009121C6" w:rsidRDefault="00E0187E" w:rsidP="007A69CC">
            <w:pPr>
              <w:rPr>
                <w:sz w:val="20"/>
                <w:szCs w:val="20"/>
              </w:rPr>
            </w:pPr>
            <w:r w:rsidRPr="009121C6">
              <w:rPr>
                <w:b/>
                <w:bCs/>
                <w:sz w:val="20"/>
                <w:szCs w:val="20"/>
                <w:lang w:val="es-ES"/>
              </w:rPr>
              <w:t>EVALUACIÓN</w:t>
            </w:r>
          </w:p>
        </w:tc>
      </w:tr>
      <w:tr w:rsidR="00E0187E" w:rsidRPr="009121C6" w:rsidTr="00E0187E">
        <w:trPr>
          <w:trHeight w:val="462"/>
        </w:trPr>
        <w:tc>
          <w:tcPr>
            <w:tcW w:w="781" w:type="pct"/>
            <w:vMerge/>
            <w:tcBorders>
              <w:top w:val="single" w:sz="8" w:space="0" w:color="FFFFFF"/>
              <w:left w:val="single" w:sz="8" w:space="0" w:color="FFFFFF"/>
              <w:bottom w:val="single" w:sz="24" w:space="0" w:color="FFFFFF"/>
              <w:right w:val="single" w:sz="8" w:space="0" w:color="FFFFFF"/>
            </w:tcBorders>
            <w:vAlign w:val="center"/>
            <w:hideMark/>
          </w:tcPr>
          <w:p w:rsidR="00E0187E" w:rsidRPr="009121C6" w:rsidRDefault="00E0187E" w:rsidP="007A69CC">
            <w:pPr>
              <w:rPr>
                <w:sz w:val="20"/>
                <w:szCs w:val="20"/>
              </w:rPr>
            </w:pPr>
          </w:p>
        </w:tc>
        <w:tc>
          <w:tcPr>
            <w:tcW w:w="883" w:type="pct"/>
            <w:tcBorders>
              <w:top w:val="single" w:sz="24" w:space="0" w:color="FFFFFF"/>
              <w:left w:val="single" w:sz="24"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E0187E" w:rsidRPr="009121C6" w:rsidRDefault="00E0187E" w:rsidP="007A69CC">
            <w:pPr>
              <w:rPr>
                <w:sz w:val="20"/>
                <w:szCs w:val="20"/>
              </w:rPr>
            </w:pPr>
            <w:r w:rsidRPr="009121C6">
              <w:rPr>
                <w:sz w:val="20"/>
                <w:szCs w:val="20"/>
                <w:lang w:val="es-ES"/>
              </w:rPr>
              <w:t>10</w:t>
            </w:r>
          </w:p>
        </w:tc>
        <w:tc>
          <w:tcPr>
            <w:tcW w:w="834" w:type="pct"/>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9</w:t>
            </w:r>
          </w:p>
        </w:tc>
        <w:tc>
          <w:tcPr>
            <w:tcW w:w="834" w:type="pct"/>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E0187E" w:rsidRPr="009121C6" w:rsidRDefault="00E0187E" w:rsidP="007A69CC">
            <w:pPr>
              <w:rPr>
                <w:sz w:val="20"/>
                <w:szCs w:val="20"/>
              </w:rPr>
            </w:pPr>
            <w:r w:rsidRPr="009121C6">
              <w:rPr>
                <w:sz w:val="20"/>
                <w:szCs w:val="20"/>
                <w:lang w:val="es-ES"/>
              </w:rPr>
              <w:t>8</w:t>
            </w:r>
          </w:p>
        </w:tc>
        <w:tc>
          <w:tcPr>
            <w:tcW w:w="883" w:type="pct"/>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E0187E" w:rsidRPr="009121C6" w:rsidRDefault="00E0187E" w:rsidP="007A69CC">
            <w:pPr>
              <w:rPr>
                <w:sz w:val="20"/>
                <w:szCs w:val="20"/>
              </w:rPr>
            </w:pPr>
            <w:r w:rsidRPr="009121C6">
              <w:rPr>
                <w:sz w:val="20"/>
                <w:szCs w:val="20"/>
                <w:lang w:val="es-ES"/>
              </w:rPr>
              <w:t>7</w:t>
            </w:r>
          </w:p>
        </w:tc>
        <w:tc>
          <w:tcPr>
            <w:tcW w:w="785" w:type="pct"/>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E0187E" w:rsidRPr="009121C6" w:rsidRDefault="00E0187E" w:rsidP="007A69CC">
            <w:pPr>
              <w:rPr>
                <w:sz w:val="20"/>
                <w:szCs w:val="20"/>
              </w:rPr>
            </w:pPr>
            <w:r w:rsidRPr="009121C6">
              <w:rPr>
                <w:sz w:val="20"/>
                <w:szCs w:val="20"/>
                <w:lang w:val="es-ES"/>
              </w:rPr>
              <w:t>6-5</w:t>
            </w:r>
          </w:p>
        </w:tc>
      </w:tr>
      <w:tr w:rsidR="00E0187E" w:rsidRPr="009121C6" w:rsidTr="00E0187E">
        <w:trPr>
          <w:trHeight w:val="1325"/>
        </w:trPr>
        <w:tc>
          <w:tcPr>
            <w:tcW w:w="781" w:type="pct"/>
            <w:tcBorders>
              <w:top w:val="single" w:sz="24"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b/>
                <w:bCs/>
                <w:sz w:val="20"/>
                <w:szCs w:val="20"/>
                <w:lang w:val="es-ES"/>
              </w:rPr>
              <w:t>Introducción</w:t>
            </w:r>
          </w:p>
        </w:tc>
        <w:tc>
          <w:tcPr>
            <w:tcW w:w="883"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Específica el qué va a realizar y el para qué con claridad</w:t>
            </w:r>
          </w:p>
        </w:tc>
        <w:tc>
          <w:tcPr>
            <w:tcW w:w="834"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Específica el qué va a realizar y el para qué de manera confusa.</w:t>
            </w:r>
          </w:p>
        </w:tc>
        <w:tc>
          <w:tcPr>
            <w:tcW w:w="834"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Específica algunos de los elementos básicos de la introducción de manera poco clara</w:t>
            </w:r>
          </w:p>
        </w:tc>
        <w:tc>
          <w:tcPr>
            <w:tcW w:w="883"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Específica sólo un elemento básico de la introducción de manera poco clara.</w:t>
            </w:r>
          </w:p>
        </w:tc>
        <w:tc>
          <w:tcPr>
            <w:tcW w:w="785"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No específica ninguno de los elementos básicos de la introducción.</w:t>
            </w:r>
          </w:p>
        </w:tc>
      </w:tr>
      <w:tr w:rsidR="00E0187E" w:rsidRPr="009121C6" w:rsidTr="00E0187E">
        <w:trPr>
          <w:trHeight w:val="2522"/>
        </w:trPr>
        <w:tc>
          <w:tcPr>
            <w:tcW w:w="781"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b/>
                <w:bCs/>
                <w:sz w:val="20"/>
                <w:szCs w:val="20"/>
                <w:lang w:val="es-ES"/>
              </w:rPr>
              <w:t>Desarrollo o cuerpo</w:t>
            </w:r>
          </w:p>
        </w:tc>
        <w:tc>
          <w:tcPr>
            <w:tcW w:w="883"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 xml:space="preserve">Desarrolla el tema de manera completa y clara, de acuerdo al propósito establecido y con argumentos que fundamenten su postura.  </w:t>
            </w:r>
          </w:p>
        </w:tc>
        <w:tc>
          <w:tcPr>
            <w:tcW w:w="834"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 xml:space="preserve">Desarrolla el tema de manera </w:t>
            </w:r>
            <w:proofErr w:type="gramStart"/>
            <w:r w:rsidRPr="009121C6">
              <w:rPr>
                <w:sz w:val="20"/>
                <w:szCs w:val="20"/>
                <w:lang w:val="es-ES"/>
              </w:rPr>
              <w:t>parcial  de</w:t>
            </w:r>
            <w:proofErr w:type="gramEnd"/>
            <w:r w:rsidRPr="009121C6">
              <w:rPr>
                <w:sz w:val="20"/>
                <w:szCs w:val="20"/>
                <w:lang w:val="es-ES"/>
              </w:rPr>
              <w:t xml:space="preserve"> acuerdo al propósito establecido y con algunos  argumentos que fundamenten su postura.  </w:t>
            </w:r>
          </w:p>
        </w:tc>
        <w:tc>
          <w:tcPr>
            <w:tcW w:w="834"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 xml:space="preserve">Desarrolla el tema de manera incompleta y confusa, sin continuar </w:t>
            </w:r>
            <w:proofErr w:type="gramStart"/>
            <w:r w:rsidRPr="009121C6">
              <w:rPr>
                <w:sz w:val="20"/>
                <w:szCs w:val="20"/>
                <w:lang w:val="es-ES"/>
              </w:rPr>
              <w:t>el  propósito</w:t>
            </w:r>
            <w:proofErr w:type="gramEnd"/>
            <w:r w:rsidRPr="009121C6">
              <w:rPr>
                <w:sz w:val="20"/>
                <w:szCs w:val="20"/>
                <w:lang w:val="es-ES"/>
              </w:rPr>
              <w:t xml:space="preserve"> establecido y con  argumentos pobres que fundamenten su postura.  </w:t>
            </w:r>
          </w:p>
        </w:tc>
        <w:tc>
          <w:tcPr>
            <w:tcW w:w="883"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Desarrolla su tema de manera incompleta y confusa, sin perseguir el propósito establecido y sin argumentos ni postura alguna.</w:t>
            </w:r>
          </w:p>
        </w:tc>
        <w:tc>
          <w:tcPr>
            <w:tcW w:w="785"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 xml:space="preserve">Realizó copia textual de los </w:t>
            </w:r>
            <w:proofErr w:type="gramStart"/>
            <w:r w:rsidRPr="009121C6">
              <w:rPr>
                <w:sz w:val="20"/>
                <w:szCs w:val="20"/>
                <w:lang w:val="es-ES"/>
              </w:rPr>
              <w:t>contenidos .</w:t>
            </w:r>
            <w:proofErr w:type="gramEnd"/>
            <w:r w:rsidRPr="009121C6">
              <w:rPr>
                <w:sz w:val="20"/>
                <w:szCs w:val="20"/>
                <w:lang w:val="es-ES"/>
              </w:rPr>
              <w:t xml:space="preserve"> </w:t>
            </w:r>
          </w:p>
        </w:tc>
      </w:tr>
      <w:tr w:rsidR="00E0187E" w:rsidRPr="009121C6" w:rsidTr="00E0187E">
        <w:trPr>
          <w:trHeight w:val="1766"/>
        </w:trPr>
        <w:tc>
          <w:tcPr>
            <w:tcW w:w="781"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b/>
                <w:bCs/>
                <w:sz w:val="20"/>
                <w:szCs w:val="20"/>
                <w:lang w:val="es-ES"/>
              </w:rPr>
              <w:t>Conclusión</w:t>
            </w:r>
          </w:p>
        </w:tc>
        <w:tc>
          <w:tcPr>
            <w:tcW w:w="883"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Cierra el ensayo con conclusiones claras,  acordes al propósito, desarrollo del tema y de la postura planteada.</w:t>
            </w:r>
          </w:p>
        </w:tc>
        <w:tc>
          <w:tcPr>
            <w:tcW w:w="834"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Cierra el ensayo con conclusiones,  acordes al propósito y desarrollo del tema aunque no de la postura planteada.</w:t>
            </w:r>
          </w:p>
        </w:tc>
        <w:tc>
          <w:tcPr>
            <w:tcW w:w="834"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Cierra el ensayo con conclusiones confusas, acordes al propósito y no acordes al tema planteado.</w:t>
            </w:r>
          </w:p>
        </w:tc>
        <w:tc>
          <w:tcPr>
            <w:tcW w:w="883"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Presenta conclusiones incompletas, discordes al propósito y desarrollo del tema.</w:t>
            </w:r>
          </w:p>
        </w:tc>
        <w:tc>
          <w:tcPr>
            <w:tcW w:w="785"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No brinda conclusiones.</w:t>
            </w:r>
          </w:p>
        </w:tc>
      </w:tr>
      <w:tr w:rsidR="00E0187E" w:rsidRPr="009121C6" w:rsidTr="00E0187E">
        <w:trPr>
          <w:trHeight w:val="1766"/>
        </w:trPr>
        <w:tc>
          <w:tcPr>
            <w:tcW w:w="781"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b/>
                <w:bCs/>
                <w:sz w:val="20"/>
                <w:szCs w:val="20"/>
                <w:lang w:val="es-ES"/>
              </w:rPr>
              <w:t>Referencias</w:t>
            </w:r>
          </w:p>
        </w:tc>
        <w:tc>
          <w:tcPr>
            <w:tcW w:w="883"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Cuenta con la bibliografía mínima solicitada.  Sigue la norma APA en sus argumentaciones y en su ficha.</w:t>
            </w:r>
          </w:p>
        </w:tc>
        <w:tc>
          <w:tcPr>
            <w:tcW w:w="834"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Cuenta con alguna bibliografía, su referencia sigue la norma APA en sus argumentaciones y en su ficha.</w:t>
            </w:r>
          </w:p>
        </w:tc>
        <w:tc>
          <w:tcPr>
            <w:tcW w:w="834"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Cuenta con bibliografía mínima sólo  como ficha o como argumentación sin seguir la norma APA.</w:t>
            </w:r>
          </w:p>
        </w:tc>
        <w:tc>
          <w:tcPr>
            <w:tcW w:w="883"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Bibliografía incompleta sólo menciona algunos datos.</w:t>
            </w:r>
          </w:p>
        </w:tc>
        <w:tc>
          <w:tcPr>
            <w:tcW w:w="785" w:type="pct"/>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No cuenta con bibliografía ni  como ficha ni en las argumentaciones.</w:t>
            </w:r>
          </w:p>
        </w:tc>
      </w:tr>
      <w:tr w:rsidR="00E0187E" w:rsidRPr="009121C6" w:rsidTr="00E0187E">
        <w:trPr>
          <w:trHeight w:val="568"/>
        </w:trPr>
        <w:tc>
          <w:tcPr>
            <w:tcW w:w="781"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b/>
                <w:bCs/>
                <w:sz w:val="20"/>
                <w:szCs w:val="20"/>
                <w:lang w:val="es-ES"/>
              </w:rPr>
              <w:t>Ortografía</w:t>
            </w:r>
          </w:p>
        </w:tc>
        <w:tc>
          <w:tcPr>
            <w:tcW w:w="883"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No tiene ni un error ortográfico</w:t>
            </w:r>
          </w:p>
        </w:tc>
        <w:tc>
          <w:tcPr>
            <w:tcW w:w="834"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Tiene cuatro errores ortográficos</w:t>
            </w:r>
          </w:p>
        </w:tc>
        <w:tc>
          <w:tcPr>
            <w:tcW w:w="834"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Presenta 10 errores ortográficos</w:t>
            </w:r>
          </w:p>
        </w:tc>
        <w:tc>
          <w:tcPr>
            <w:tcW w:w="883"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Presenta más de 10 errores ortográficos.</w:t>
            </w:r>
          </w:p>
        </w:tc>
        <w:tc>
          <w:tcPr>
            <w:tcW w:w="785" w:type="pct"/>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0187E" w:rsidRPr="009121C6" w:rsidRDefault="00E0187E" w:rsidP="007A69CC">
            <w:pPr>
              <w:rPr>
                <w:sz w:val="20"/>
                <w:szCs w:val="20"/>
              </w:rPr>
            </w:pPr>
            <w:r w:rsidRPr="009121C6">
              <w:rPr>
                <w:sz w:val="20"/>
                <w:szCs w:val="20"/>
                <w:lang w:val="es-ES"/>
              </w:rPr>
              <w:t>No se acepta.</w:t>
            </w:r>
          </w:p>
        </w:tc>
      </w:tr>
    </w:tbl>
    <w:p w:rsidR="00E0187E" w:rsidRPr="009121C6" w:rsidRDefault="00E0187E" w:rsidP="00E0187E">
      <w:pPr>
        <w:rPr>
          <w:sz w:val="20"/>
          <w:szCs w:val="20"/>
        </w:rPr>
      </w:pPr>
    </w:p>
    <w:p w:rsidR="002F2B9D" w:rsidRPr="002F2B9D" w:rsidRDefault="002F2B9D" w:rsidP="002F2B9D">
      <w:pPr>
        <w:spacing w:after="0" w:line="360" w:lineRule="auto"/>
        <w:rPr>
          <w:rFonts w:ascii="Times New Roman" w:hAnsi="Times New Roman" w:cs="Times New Roman"/>
          <w:b/>
          <w:sz w:val="28"/>
          <w:lang w:val="es-MX"/>
        </w:rPr>
      </w:pPr>
    </w:p>
    <w:p w:rsidR="00E0187E" w:rsidRDefault="00E0187E" w:rsidP="00CE6C24">
      <w:pPr>
        <w:spacing w:after="0" w:line="360" w:lineRule="auto"/>
        <w:rPr>
          <w:rFonts w:ascii="Times New Roman" w:hAnsi="Times New Roman" w:cs="Times New Roman"/>
          <w:b/>
          <w:sz w:val="28"/>
          <w:lang w:val="es-MX"/>
        </w:rPr>
      </w:pPr>
      <w:r>
        <w:rPr>
          <w:rFonts w:ascii="Times New Roman" w:hAnsi="Times New Roman" w:cs="Times New Roman"/>
          <w:b/>
          <w:sz w:val="28"/>
          <w:lang w:val="es-MX"/>
        </w:rPr>
        <w:lastRenderedPageBreak/>
        <w:t>Referencias bibliográficas</w:t>
      </w:r>
    </w:p>
    <w:p w:rsidR="00E0187E" w:rsidRPr="00E0187E" w:rsidRDefault="00E0187E" w:rsidP="00E0187E">
      <w:pPr>
        <w:spacing w:after="0" w:line="360" w:lineRule="auto"/>
        <w:rPr>
          <w:rFonts w:ascii="Times New Roman" w:hAnsi="Times New Roman" w:cs="Times New Roman"/>
          <w:sz w:val="24"/>
          <w:lang w:val="es-MX"/>
        </w:rPr>
      </w:pPr>
      <w:r w:rsidRPr="00E0187E">
        <w:rPr>
          <w:rFonts w:ascii="Times New Roman" w:hAnsi="Times New Roman" w:cs="Times New Roman"/>
          <w:sz w:val="24"/>
          <w:lang w:val="es-MX"/>
        </w:rPr>
        <w:t xml:space="preserve"> </w:t>
      </w:r>
      <w:r w:rsidRPr="00E0187E">
        <w:rPr>
          <w:rFonts w:ascii="Times New Roman" w:hAnsi="Times New Roman" w:cs="Times New Roman"/>
          <w:sz w:val="24"/>
          <w:lang w:val="es-MX"/>
        </w:rPr>
        <w:t xml:space="preserve">Calixto, R. (2009). El diagnóstico escolar. Elementos para </w:t>
      </w:r>
      <w:proofErr w:type="spellStart"/>
      <w:r w:rsidRPr="00E0187E">
        <w:rPr>
          <w:rFonts w:ascii="Times New Roman" w:hAnsi="Times New Roman" w:cs="Times New Roman"/>
          <w:sz w:val="24"/>
          <w:lang w:val="es-MX"/>
        </w:rPr>
        <w:t>concoer</w:t>
      </w:r>
      <w:proofErr w:type="spellEnd"/>
      <w:r w:rsidRPr="00E0187E">
        <w:rPr>
          <w:rFonts w:ascii="Times New Roman" w:hAnsi="Times New Roman" w:cs="Times New Roman"/>
          <w:sz w:val="24"/>
          <w:lang w:val="es-MX"/>
        </w:rPr>
        <w:t xml:space="preserve"> y actuar en el medio ambiente. </w:t>
      </w:r>
      <w:proofErr w:type="spellStart"/>
      <w:r w:rsidRPr="00E0187E">
        <w:rPr>
          <w:rFonts w:ascii="Times New Roman" w:hAnsi="Times New Roman" w:cs="Times New Roman"/>
          <w:sz w:val="24"/>
          <w:lang w:val="es-MX"/>
        </w:rPr>
        <w:t>Mexico</w:t>
      </w:r>
      <w:proofErr w:type="spellEnd"/>
      <w:r w:rsidRPr="00E0187E">
        <w:rPr>
          <w:rFonts w:ascii="Times New Roman" w:hAnsi="Times New Roman" w:cs="Times New Roman"/>
          <w:sz w:val="24"/>
          <w:lang w:val="es-MX"/>
        </w:rPr>
        <w:t>: Castellanos editores.</w:t>
      </w:r>
    </w:p>
    <w:p w:rsidR="00E0187E" w:rsidRPr="00E0187E" w:rsidRDefault="00E0187E" w:rsidP="00E0187E">
      <w:pPr>
        <w:spacing w:after="0" w:line="360" w:lineRule="auto"/>
        <w:rPr>
          <w:rFonts w:ascii="Times New Roman" w:hAnsi="Times New Roman" w:cs="Times New Roman"/>
          <w:sz w:val="24"/>
          <w:lang w:val="es-MX"/>
        </w:rPr>
      </w:pPr>
      <w:r w:rsidRPr="00E0187E">
        <w:rPr>
          <w:rFonts w:ascii="Times New Roman" w:hAnsi="Times New Roman" w:cs="Times New Roman"/>
          <w:sz w:val="24"/>
          <w:lang w:val="es-MX"/>
        </w:rPr>
        <w:t xml:space="preserve">G., R. B. (2000). Hacia una escuela para todo y con todos. </w:t>
      </w:r>
    </w:p>
    <w:p w:rsidR="00E0187E" w:rsidRPr="00E0187E" w:rsidRDefault="00E0187E" w:rsidP="00E0187E">
      <w:pPr>
        <w:spacing w:after="0" w:line="360" w:lineRule="auto"/>
        <w:rPr>
          <w:rFonts w:ascii="Times New Roman" w:hAnsi="Times New Roman" w:cs="Times New Roman"/>
          <w:sz w:val="24"/>
          <w:lang w:val="es-MX"/>
        </w:rPr>
      </w:pPr>
      <w:proofErr w:type="spellStart"/>
      <w:r w:rsidRPr="00E0187E">
        <w:rPr>
          <w:rFonts w:ascii="Times New Roman" w:hAnsi="Times New Roman" w:cs="Times New Roman"/>
          <w:sz w:val="24"/>
          <w:lang w:val="es-MX"/>
        </w:rPr>
        <w:t>Kolh</w:t>
      </w:r>
      <w:proofErr w:type="spellEnd"/>
      <w:r w:rsidRPr="00E0187E">
        <w:rPr>
          <w:rFonts w:ascii="Times New Roman" w:hAnsi="Times New Roman" w:cs="Times New Roman"/>
          <w:sz w:val="24"/>
          <w:lang w:val="es-MX"/>
        </w:rPr>
        <w:t xml:space="preserve">, D. (2000). Estilos de aprendizaje. </w:t>
      </w:r>
    </w:p>
    <w:p w:rsidR="00E0187E" w:rsidRPr="00E0187E" w:rsidRDefault="00E0187E" w:rsidP="00E0187E">
      <w:pPr>
        <w:spacing w:after="0" w:line="360" w:lineRule="auto"/>
        <w:rPr>
          <w:rFonts w:ascii="Times New Roman" w:hAnsi="Times New Roman" w:cs="Times New Roman"/>
          <w:sz w:val="24"/>
          <w:lang w:val="es-MX"/>
        </w:rPr>
      </w:pPr>
      <w:proofErr w:type="spellStart"/>
      <w:r w:rsidRPr="00E0187E">
        <w:rPr>
          <w:rFonts w:ascii="Times New Roman" w:hAnsi="Times New Roman" w:cs="Times New Roman"/>
          <w:sz w:val="24"/>
          <w:lang w:val="es-MX"/>
        </w:rPr>
        <w:t>Schunk</w:t>
      </w:r>
      <w:proofErr w:type="spellEnd"/>
      <w:r w:rsidRPr="00E0187E">
        <w:rPr>
          <w:rFonts w:ascii="Times New Roman" w:hAnsi="Times New Roman" w:cs="Times New Roman"/>
          <w:sz w:val="24"/>
          <w:lang w:val="es-MX"/>
        </w:rPr>
        <w:t xml:space="preserve">, D. H. (2012). </w:t>
      </w:r>
      <w:proofErr w:type="spellStart"/>
      <w:r w:rsidRPr="00E0187E">
        <w:rPr>
          <w:rFonts w:ascii="Times New Roman" w:hAnsi="Times New Roman" w:cs="Times New Roman"/>
          <w:sz w:val="24"/>
          <w:lang w:val="es-MX"/>
        </w:rPr>
        <w:t>Teorias</w:t>
      </w:r>
      <w:proofErr w:type="spellEnd"/>
      <w:r w:rsidRPr="00E0187E">
        <w:rPr>
          <w:rFonts w:ascii="Times New Roman" w:hAnsi="Times New Roman" w:cs="Times New Roman"/>
          <w:sz w:val="24"/>
          <w:lang w:val="es-MX"/>
        </w:rPr>
        <w:t xml:space="preserve"> del aprendizaje. México: Gerencia Editorial.</w:t>
      </w:r>
    </w:p>
    <w:p w:rsidR="00E0187E" w:rsidRPr="00E0187E" w:rsidRDefault="00E0187E" w:rsidP="00E0187E">
      <w:pPr>
        <w:spacing w:after="0" w:line="360" w:lineRule="auto"/>
        <w:rPr>
          <w:rFonts w:ascii="Times New Roman" w:hAnsi="Times New Roman" w:cs="Times New Roman"/>
          <w:sz w:val="24"/>
          <w:lang w:val="es-MX"/>
        </w:rPr>
      </w:pPr>
      <w:r w:rsidRPr="00E0187E">
        <w:rPr>
          <w:rFonts w:ascii="Times New Roman" w:hAnsi="Times New Roman" w:cs="Times New Roman"/>
          <w:sz w:val="24"/>
          <w:lang w:val="es-MX"/>
        </w:rPr>
        <w:t>SEP. (</w:t>
      </w:r>
      <w:proofErr w:type="gramStart"/>
      <w:r w:rsidRPr="00E0187E">
        <w:rPr>
          <w:rFonts w:ascii="Times New Roman" w:hAnsi="Times New Roman" w:cs="Times New Roman"/>
          <w:sz w:val="24"/>
          <w:lang w:val="es-MX"/>
        </w:rPr>
        <w:t>2011 )</w:t>
      </w:r>
      <w:proofErr w:type="gramEnd"/>
      <w:r w:rsidRPr="00E0187E">
        <w:rPr>
          <w:rFonts w:ascii="Times New Roman" w:hAnsi="Times New Roman" w:cs="Times New Roman"/>
          <w:sz w:val="24"/>
          <w:lang w:val="es-MX"/>
        </w:rPr>
        <w:t>. Programa de Estudio 2011. Guía para la educadora. Educación Básica. México.</w:t>
      </w:r>
    </w:p>
    <w:p w:rsidR="002F2B9D" w:rsidRPr="00E0187E" w:rsidRDefault="00E0187E" w:rsidP="00E0187E">
      <w:pPr>
        <w:spacing w:after="0" w:line="360" w:lineRule="auto"/>
        <w:rPr>
          <w:rFonts w:ascii="Times New Roman" w:hAnsi="Times New Roman" w:cs="Times New Roman"/>
          <w:sz w:val="24"/>
          <w:lang w:val="es-MX"/>
        </w:rPr>
      </w:pPr>
      <w:r w:rsidRPr="00E0187E">
        <w:rPr>
          <w:rFonts w:ascii="Times New Roman" w:hAnsi="Times New Roman" w:cs="Times New Roman"/>
          <w:sz w:val="24"/>
          <w:lang w:val="es-MX"/>
        </w:rPr>
        <w:t>SEP. (2017). Aprendizajes clave. México.</w:t>
      </w:r>
      <w:bookmarkStart w:id="0" w:name="_GoBack"/>
      <w:bookmarkEnd w:id="0"/>
    </w:p>
    <w:sectPr w:rsidR="002F2B9D" w:rsidRPr="00E0187E" w:rsidSect="000129AE">
      <w:pgSz w:w="11906" w:h="16838"/>
      <w:pgMar w:top="1418" w:right="1418" w:bottom="1418" w:left="1418"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66E5B"/>
    <w:multiLevelType w:val="hybridMultilevel"/>
    <w:tmpl w:val="D3782C7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5E617573"/>
    <w:multiLevelType w:val="hybridMultilevel"/>
    <w:tmpl w:val="212877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AE"/>
    <w:rsid w:val="000129AE"/>
    <w:rsid w:val="002F2B9D"/>
    <w:rsid w:val="00614931"/>
    <w:rsid w:val="006656B3"/>
    <w:rsid w:val="00955321"/>
    <w:rsid w:val="00CE6C24"/>
    <w:rsid w:val="00E0187E"/>
    <w:rsid w:val="00F37EEE"/>
    <w:rsid w:val="00FA3BE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ED9B"/>
  <w15:chartTrackingRefBased/>
  <w15:docId w15:val="{B330F249-74D8-4FD7-BEB5-D27F3368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8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3525</Words>
  <Characters>19390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Natalia Rodriguez</cp:lastModifiedBy>
  <cp:revision>2</cp:revision>
  <dcterms:created xsi:type="dcterms:W3CDTF">2019-11-11T00:39:00Z</dcterms:created>
  <dcterms:modified xsi:type="dcterms:W3CDTF">2019-11-11T01:57:00Z</dcterms:modified>
</cp:coreProperties>
</file>