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E793" w14:textId="77777777" w:rsidR="009E5B93" w:rsidRPr="00E503D4" w:rsidRDefault="00E503D4" w:rsidP="009E5B93">
      <w:pPr>
        <w:ind w:left="-567" w:hanging="142"/>
        <w:jc w:val="center"/>
        <w:rPr>
          <w:rFonts w:ascii="Rockwell Nova Extra Bold" w:hAnsi="Rockwell Nova Extra Bold" w:cs="Arial"/>
          <w:b/>
          <w:color w:val="FF0000"/>
          <w:sz w:val="40"/>
          <w:szCs w:val="40"/>
        </w:rPr>
      </w:pPr>
      <w:r w:rsidRPr="009E5B93">
        <w:rPr>
          <w:rFonts w:ascii="Tw Cen MT Condensed" w:hAnsi="Tw Cen MT Condensed"/>
          <w:noProof/>
        </w:rPr>
        <w:drawing>
          <wp:anchor distT="0" distB="0" distL="114300" distR="114300" simplePos="0" relativeHeight="251658240" behindDoc="0" locked="0" layoutInCell="1" allowOverlap="1" wp14:anchorId="1548C08D" wp14:editId="230FA705">
            <wp:simplePos x="0" y="0"/>
            <wp:positionH relativeFrom="column">
              <wp:posOffset>-480060</wp:posOffset>
            </wp:positionH>
            <wp:positionV relativeFrom="paragraph">
              <wp:posOffset>365125</wp:posOffset>
            </wp:positionV>
            <wp:extent cx="1171575" cy="1076325"/>
            <wp:effectExtent l="0" t="0" r="0" b="9525"/>
            <wp:wrapNone/>
            <wp:docPr id="1" name="Imagen 1" descr="Resultado de imagen par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para ene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B93" w:rsidRPr="00E503D4">
        <w:rPr>
          <w:rFonts w:ascii="Rockwell Nova Extra Bold" w:hAnsi="Rockwell Nova Extra Bold" w:cs="Arial"/>
          <w:b/>
          <w:color w:val="FF0000"/>
          <w:sz w:val="40"/>
          <w:szCs w:val="40"/>
        </w:rPr>
        <w:t>Escuela normal de educación preescolar</w:t>
      </w:r>
    </w:p>
    <w:p w14:paraId="1DD2F754" w14:textId="77777777" w:rsidR="009E5B93" w:rsidRP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40"/>
          <w:szCs w:val="40"/>
        </w:rPr>
      </w:pPr>
      <w:r w:rsidRPr="009E5B93">
        <w:rPr>
          <w:rFonts w:ascii="Tw Cen MT Condensed" w:hAnsi="Tw Cen MT Condensed" w:cs="Arial"/>
          <w:sz w:val="40"/>
          <w:szCs w:val="40"/>
        </w:rPr>
        <w:t>Licenciatura en educación preescolar</w:t>
      </w:r>
    </w:p>
    <w:p w14:paraId="41670DFC" w14:textId="77777777" w:rsidR="009E5B93" w:rsidRP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40"/>
          <w:szCs w:val="40"/>
        </w:rPr>
      </w:pPr>
      <w:r w:rsidRPr="009E5B93">
        <w:rPr>
          <w:rFonts w:ascii="Tw Cen MT Condensed" w:hAnsi="Tw Cen MT Condensed" w:cs="Arial"/>
          <w:sz w:val="40"/>
          <w:szCs w:val="40"/>
        </w:rPr>
        <w:t>Ciclo 2019-2020</w:t>
      </w:r>
    </w:p>
    <w:p w14:paraId="2990466E" w14:textId="77777777" w:rsid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40"/>
          <w:szCs w:val="40"/>
        </w:rPr>
      </w:pPr>
      <w:r w:rsidRPr="009E5B93">
        <w:rPr>
          <w:rFonts w:ascii="Tw Cen MT Condensed" w:hAnsi="Tw Cen MT Condensed" w:cs="Arial"/>
          <w:sz w:val="40"/>
          <w:szCs w:val="40"/>
        </w:rPr>
        <w:t>Cuestionario</w:t>
      </w:r>
    </w:p>
    <w:p w14:paraId="1EEAA12F" w14:textId="77777777" w:rsidR="00E503D4" w:rsidRPr="009E5B93" w:rsidRDefault="00E503D4" w:rsidP="009E5B93">
      <w:pPr>
        <w:ind w:left="-567" w:hanging="142"/>
        <w:jc w:val="center"/>
        <w:rPr>
          <w:rFonts w:ascii="Tw Cen MT Condensed" w:hAnsi="Tw Cen MT Condensed" w:cs="Arial"/>
          <w:sz w:val="40"/>
          <w:szCs w:val="40"/>
        </w:rPr>
      </w:pPr>
    </w:p>
    <w:p w14:paraId="2A365CE5" w14:textId="77777777" w:rsid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36"/>
          <w:szCs w:val="36"/>
        </w:rPr>
      </w:pPr>
      <w:r w:rsidRPr="009E5B93">
        <w:rPr>
          <w:rFonts w:ascii="Tw Cen MT Condensed" w:hAnsi="Tw Cen MT Condensed" w:cs="Arial"/>
          <w:sz w:val="36"/>
          <w:szCs w:val="36"/>
        </w:rPr>
        <w:t xml:space="preserve">Nombre: 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>A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 xml:space="preserve">driana </w:t>
      </w:r>
      <w:r w:rsidR="00E503D4"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>Rodríguez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 xml:space="preserve"> </w:t>
      </w:r>
      <w:r w:rsidR="00E503D4"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>Hernández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 xml:space="preserve"> </w:t>
      </w:r>
    </w:p>
    <w:p w14:paraId="02968859" w14:textId="77777777" w:rsidR="009E5B93" w:rsidRP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36"/>
          <w:szCs w:val="36"/>
        </w:rPr>
      </w:pPr>
      <w:r w:rsidRPr="009E5B93">
        <w:rPr>
          <w:rFonts w:ascii="Tw Cen MT Condensed" w:hAnsi="Tw Cen MT Condensed" w:cs="Arial"/>
          <w:sz w:val="36"/>
          <w:szCs w:val="36"/>
        </w:rPr>
        <w:t xml:space="preserve">Grado: 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>1</w:t>
      </w:r>
      <w:r w:rsidRPr="009E5B93">
        <w:rPr>
          <w:rFonts w:ascii="Tw Cen MT Condensed" w:hAnsi="Tw Cen MT Condensed" w:cs="Arial"/>
          <w:sz w:val="36"/>
          <w:szCs w:val="36"/>
        </w:rPr>
        <w:t xml:space="preserve"> sección: </w:t>
      </w:r>
      <w:r w:rsidRPr="00E503D4">
        <w:rPr>
          <w:rFonts w:ascii="Tw Cen MT Condensed" w:hAnsi="Tw Cen MT Condensed" w:cs="Arial"/>
          <w:color w:val="538135" w:themeColor="accent6" w:themeShade="BF"/>
          <w:sz w:val="36"/>
          <w:szCs w:val="36"/>
        </w:rPr>
        <w:t>A</w:t>
      </w:r>
    </w:p>
    <w:p w14:paraId="63F978ED" w14:textId="77777777" w:rsidR="009E5B93" w:rsidRDefault="009E5B93" w:rsidP="009E5B93">
      <w:pPr>
        <w:ind w:left="-567" w:hanging="142"/>
        <w:jc w:val="center"/>
        <w:rPr>
          <w:rFonts w:ascii="Tw Cen MT Condensed" w:hAnsi="Tw Cen MT Condensed" w:cs="Arial"/>
          <w:sz w:val="36"/>
          <w:szCs w:val="36"/>
        </w:rPr>
      </w:pPr>
    </w:p>
    <w:p w14:paraId="74A0F796" w14:textId="77777777" w:rsidR="009E5B93" w:rsidRDefault="009E5B93" w:rsidP="00E503D4">
      <w:pPr>
        <w:rPr>
          <w:rFonts w:ascii="Tw Cen MT Condensed" w:hAnsi="Tw Cen MT Condensed" w:cs="Arial"/>
          <w:sz w:val="36"/>
          <w:szCs w:val="36"/>
        </w:rPr>
      </w:pPr>
    </w:p>
    <w:p w14:paraId="5E471E04" w14:textId="77777777" w:rsidR="00E503D4" w:rsidRDefault="00E503D4" w:rsidP="00E503D4">
      <w:pPr>
        <w:ind w:left="-567" w:hanging="142"/>
        <w:jc w:val="center"/>
        <w:rPr>
          <w:rFonts w:ascii="Tw Cen MT Condensed" w:hAnsi="Tw Cen MT Condensed" w:cs="Arial"/>
          <w:sz w:val="36"/>
          <w:szCs w:val="36"/>
        </w:rPr>
      </w:pPr>
      <w:r>
        <w:rPr>
          <w:rFonts w:ascii="Tw Cen MT Condensed" w:hAnsi="Tw Cen MT Condensed" w:cs="Arial"/>
          <w:sz w:val="36"/>
          <w:szCs w:val="36"/>
        </w:rPr>
        <w:t>Unidad 2</w:t>
      </w:r>
    </w:p>
    <w:p w14:paraId="69576847" w14:textId="77777777" w:rsidR="009E5B93" w:rsidRPr="00E503D4" w:rsidRDefault="009E5B93" w:rsidP="00E503D4">
      <w:pPr>
        <w:ind w:left="-567" w:hanging="142"/>
        <w:jc w:val="center"/>
        <w:rPr>
          <w:rFonts w:ascii="Tw Cen MT Condensed" w:hAnsi="Tw Cen MT Condensed" w:cs="Arial"/>
          <w:color w:val="ED7D31" w:themeColor="accent2"/>
          <w:sz w:val="36"/>
          <w:szCs w:val="36"/>
        </w:rPr>
      </w:pPr>
      <w:r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 xml:space="preserve">Aportes de las investigaciones </w:t>
      </w:r>
      <w:r w:rsidR="00E503D4"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>psicolingüísticas a</w:t>
      </w:r>
      <w:r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 xml:space="preserve"> la comprensión del desarrollo del lenguaje y a la adquisición de la lengua escrita</w:t>
      </w:r>
    </w:p>
    <w:p w14:paraId="59484A0D" w14:textId="77777777" w:rsidR="009E5B93" w:rsidRPr="009E5B93" w:rsidRDefault="009E5B93" w:rsidP="009E5B93">
      <w:pPr>
        <w:ind w:left="-567" w:right="-235" w:hanging="142"/>
        <w:jc w:val="center"/>
        <w:rPr>
          <w:rFonts w:ascii="Tw Cen MT Condensed" w:hAnsi="Tw Cen MT Condensed" w:cs="Arial"/>
          <w:sz w:val="36"/>
          <w:szCs w:val="36"/>
        </w:rPr>
      </w:pPr>
      <w:r w:rsidRPr="009E5B93">
        <w:rPr>
          <w:rFonts w:ascii="Tw Cen MT Condensed" w:hAnsi="Tw Cen MT Condensed" w:cs="Arial"/>
          <w:sz w:val="36"/>
          <w:szCs w:val="36"/>
        </w:rPr>
        <w:t>Competencias:</w:t>
      </w:r>
    </w:p>
    <w:p w14:paraId="454DC1E5" w14:textId="77777777" w:rsidR="009E5B93" w:rsidRPr="00E503D4" w:rsidRDefault="009E5B93" w:rsidP="009E5B93">
      <w:pPr>
        <w:numPr>
          <w:ilvl w:val="0"/>
          <w:numId w:val="1"/>
        </w:numPr>
        <w:spacing w:after="200" w:line="276" w:lineRule="auto"/>
        <w:jc w:val="center"/>
        <w:rPr>
          <w:rFonts w:ascii="Tw Cen MT Condensed" w:hAnsi="Tw Cen MT Condensed" w:cs="Arial"/>
          <w:color w:val="ED7D31" w:themeColor="accent2"/>
          <w:sz w:val="36"/>
          <w:szCs w:val="36"/>
        </w:rPr>
      </w:pPr>
      <w:r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 xml:space="preserve">Detecta los procesos de aprendizaje de sus alumnos para favorecer su desarrollo cognitivo y </w:t>
      </w:r>
      <w:r w:rsidR="00E503D4"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>socioemocional</w:t>
      </w:r>
      <w:r w:rsidRPr="00E503D4">
        <w:rPr>
          <w:rFonts w:ascii="Tw Cen MT Condensed" w:hAnsi="Tw Cen MT Condensed" w:cs="Arial"/>
          <w:color w:val="ED7D31" w:themeColor="accent2"/>
          <w:sz w:val="36"/>
          <w:szCs w:val="36"/>
        </w:rPr>
        <w:t>.</w:t>
      </w:r>
    </w:p>
    <w:p w14:paraId="53143A9E" w14:textId="77777777" w:rsidR="009E5B93" w:rsidRDefault="009E5B93" w:rsidP="009E5B93">
      <w:pPr>
        <w:ind w:left="-567" w:hanging="142"/>
        <w:jc w:val="right"/>
        <w:rPr>
          <w:rFonts w:ascii="Tw Cen MT Condensed" w:hAnsi="Tw Cen MT Condensed" w:cs="Arial"/>
          <w:sz w:val="36"/>
          <w:szCs w:val="36"/>
        </w:rPr>
      </w:pPr>
    </w:p>
    <w:p w14:paraId="4A19A3BA" w14:textId="77777777" w:rsidR="009E5B93" w:rsidRDefault="009E5B93" w:rsidP="009E5B93">
      <w:pPr>
        <w:ind w:left="-567" w:hanging="142"/>
        <w:jc w:val="right"/>
        <w:rPr>
          <w:rFonts w:ascii="Tw Cen MT Condensed" w:hAnsi="Tw Cen MT Condensed" w:cs="Arial"/>
          <w:sz w:val="36"/>
          <w:szCs w:val="36"/>
        </w:rPr>
      </w:pPr>
    </w:p>
    <w:p w14:paraId="54AAF8BA" w14:textId="77777777" w:rsidR="009E5B93" w:rsidRDefault="009E5B93" w:rsidP="009E5B93">
      <w:pPr>
        <w:ind w:left="-567" w:hanging="142"/>
        <w:jc w:val="right"/>
        <w:rPr>
          <w:rFonts w:ascii="Tw Cen MT Condensed" w:hAnsi="Tw Cen MT Condensed" w:cs="Arial"/>
          <w:sz w:val="36"/>
          <w:szCs w:val="36"/>
        </w:rPr>
      </w:pPr>
    </w:p>
    <w:p w14:paraId="3E14CF76" w14:textId="77777777" w:rsidR="009E5B93" w:rsidRDefault="009E5B93" w:rsidP="009E5B93">
      <w:pPr>
        <w:ind w:left="-567" w:hanging="142"/>
        <w:jc w:val="right"/>
        <w:rPr>
          <w:rFonts w:ascii="Tw Cen MT Condensed" w:hAnsi="Tw Cen MT Condensed" w:cs="Arial"/>
          <w:sz w:val="36"/>
          <w:szCs w:val="36"/>
        </w:rPr>
      </w:pPr>
    </w:p>
    <w:p w14:paraId="3F67BE2E" w14:textId="77777777" w:rsidR="009E5B93" w:rsidRPr="009E5B93" w:rsidRDefault="009E5B93" w:rsidP="009E5B93">
      <w:pPr>
        <w:ind w:left="-567" w:hanging="142"/>
        <w:jc w:val="right"/>
        <w:rPr>
          <w:rFonts w:ascii="Tw Cen MT Condensed" w:hAnsi="Tw Cen MT Condensed" w:cs="Arial"/>
          <w:sz w:val="36"/>
          <w:szCs w:val="36"/>
        </w:rPr>
      </w:pPr>
      <w:r w:rsidRPr="009E5B93">
        <w:rPr>
          <w:rFonts w:ascii="Tw Cen MT Condensed" w:hAnsi="Tw Cen MT Condensed" w:cs="Arial"/>
          <w:sz w:val="36"/>
          <w:szCs w:val="36"/>
        </w:rPr>
        <w:t xml:space="preserve">Noviembre 2019 </w:t>
      </w:r>
    </w:p>
    <w:p w14:paraId="09F7BC29" w14:textId="77777777" w:rsidR="009E5B93" w:rsidRDefault="009E5B93" w:rsidP="009E5B93">
      <w:pPr>
        <w:ind w:left="-567" w:hanging="142"/>
        <w:jc w:val="center"/>
        <w:rPr>
          <w:rFonts w:ascii="Arial" w:hAnsi="Arial" w:cs="Arial"/>
          <w:sz w:val="36"/>
          <w:szCs w:val="36"/>
        </w:rPr>
      </w:pPr>
    </w:p>
    <w:p w14:paraId="7FFA3560" w14:textId="77777777" w:rsidR="00FE62E5" w:rsidRPr="00E503D4" w:rsidRDefault="00A029B7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lastRenderedPageBreak/>
        <w:t xml:space="preserve">¿Cómo puedo ayudar a un niño aprender </w:t>
      </w:r>
      <w:r w:rsidR="00FE62E5" w:rsidRPr="00E503D4">
        <w:rPr>
          <w:rFonts w:ascii="TH SarabunPSK" w:hAnsi="TH SarabunPSK" w:cs="TH SarabunPSK" w:hint="cs"/>
        </w:rPr>
        <w:t>a leer y escribir?</w:t>
      </w:r>
    </w:p>
    <w:p w14:paraId="3CDEA4D4" w14:textId="77777777" w:rsidR="00FE62E5" w:rsidRPr="00E503D4" w:rsidRDefault="00FE62E5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Los alumnos necesitan participar en una diversidad de situaciones de lectura y escritura, con finalidades, interlocutores y ámbitos de interacción diversos.</w:t>
      </w:r>
    </w:p>
    <w:p w14:paraId="446623B8" w14:textId="77777777" w:rsidR="00FE62E5" w:rsidRPr="00E503D4" w:rsidRDefault="00FE62E5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</w:t>
      </w:r>
      <w:r w:rsidR="00E503D4" w:rsidRPr="00E503D4">
        <w:rPr>
          <w:rFonts w:ascii="TH SarabunPSK" w:hAnsi="TH SarabunPSK" w:cs="TH SarabunPSK"/>
        </w:rPr>
        <w:t>Cuáles</w:t>
      </w:r>
      <w:r w:rsidRPr="00E503D4">
        <w:rPr>
          <w:rFonts w:ascii="TH SarabunPSK" w:hAnsi="TH SarabunPSK" w:cs="TH SarabunPSK" w:hint="cs"/>
        </w:rPr>
        <w:t xml:space="preserve"> son las </w:t>
      </w:r>
      <w:r w:rsidR="00E503D4" w:rsidRPr="00E503D4">
        <w:rPr>
          <w:rFonts w:ascii="TH SarabunPSK" w:hAnsi="TH SarabunPSK" w:cs="TH SarabunPSK"/>
        </w:rPr>
        <w:t>prácticas</w:t>
      </w:r>
      <w:r w:rsidRPr="00E503D4">
        <w:rPr>
          <w:rFonts w:ascii="TH SarabunPSK" w:hAnsi="TH SarabunPSK" w:cs="TH SarabunPSK" w:hint="cs"/>
        </w:rPr>
        <w:t xml:space="preserve"> de enseñanza con orientación constructivistas?</w:t>
      </w:r>
    </w:p>
    <w:p w14:paraId="1D75275B" w14:textId="77777777" w:rsidR="00FE62E5" w:rsidRPr="00E503D4" w:rsidRDefault="00300209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L</w:t>
      </w:r>
      <w:r w:rsidR="00FE62E5" w:rsidRPr="00E503D4">
        <w:rPr>
          <w:rFonts w:ascii="TH SarabunPSK" w:hAnsi="TH SarabunPSK" w:cs="TH SarabunPSK" w:hint="cs"/>
          <w:color w:val="7030A0"/>
        </w:rPr>
        <w:t>a</w:t>
      </w:r>
      <w:r w:rsidRPr="00E503D4">
        <w:rPr>
          <w:rFonts w:ascii="TH SarabunPSK" w:hAnsi="TH SarabunPSK" w:cs="TH SarabunPSK" w:hint="cs"/>
          <w:color w:val="7030A0"/>
        </w:rPr>
        <w:t xml:space="preserve"> primera es que este enfoque propone un trabajo cotidiano en pequeños grupos 8de dos o tres niños) para que puedan compartir y discutir dudas e informaciones, se promueve la producción cooperativa de escrituras para favorecer las confrontaciones de conceptualizaciones diferentes y el intercambio de conocimientos.</w:t>
      </w:r>
    </w:p>
    <w:p w14:paraId="32739BE9" w14:textId="77777777" w:rsidR="00300209" w:rsidRPr="00E503D4" w:rsidRDefault="00300209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La segunda el maestro propone las actividades y guía en las actividades e intervenciones de los niños a través de preguntas o planteamientos problematizadores.</w:t>
      </w:r>
    </w:p>
    <w:p w14:paraId="183108EC" w14:textId="77777777" w:rsidR="00300209" w:rsidRPr="00E503D4" w:rsidRDefault="00300209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¿Qué es el sistema de escritura?</w:t>
      </w:r>
    </w:p>
    <w:p w14:paraId="2C2FFFF5" w14:textId="77777777" w:rsidR="00300209" w:rsidRPr="00E503D4" w:rsidRDefault="00300209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Son objetos sociales y culturales que se construyeron y transformaron a través del tiempo y responden a ciertas reglas y principios</w:t>
      </w:r>
      <w:r w:rsidR="00E503D4">
        <w:rPr>
          <w:rFonts w:ascii="TH SarabunPSK" w:hAnsi="TH SarabunPSK" w:cs="TH SarabunPSK"/>
          <w:color w:val="7030A0"/>
        </w:rPr>
        <w:t>.</w:t>
      </w:r>
    </w:p>
    <w:p w14:paraId="487B12A6" w14:textId="77777777" w:rsidR="00300209" w:rsidRPr="00E503D4" w:rsidRDefault="00300209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¿Qué dispone la oralidad?</w:t>
      </w:r>
    </w:p>
    <w:p w14:paraId="3487506F" w14:textId="77777777" w:rsidR="00300209" w:rsidRPr="00E503D4" w:rsidRDefault="00300209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 xml:space="preserve">Dispone recursos, de modos de organización </w:t>
      </w:r>
      <w:r w:rsidR="00E503D4" w:rsidRPr="00E503D4">
        <w:rPr>
          <w:rFonts w:ascii="TH SarabunPSK" w:hAnsi="TH SarabunPSK" w:cs="TH SarabunPSK"/>
          <w:color w:val="7030A0"/>
        </w:rPr>
        <w:t>gramatical</w:t>
      </w:r>
      <w:r w:rsidRPr="00E503D4">
        <w:rPr>
          <w:rFonts w:ascii="TH SarabunPSK" w:hAnsi="TH SarabunPSK" w:cs="TH SarabunPSK" w:hint="cs"/>
          <w:color w:val="7030A0"/>
        </w:rPr>
        <w:t xml:space="preserve"> y discursiva distintos a los de la escritura.</w:t>
      </w:r>
    </w:p>
    <w:p w14:paraId="46257BE7" w14:textId="77777777" w:rsidR="00300209" w:rsidRPr="00E503D4" w:rsidRDefault="00300209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¿Qué se hace con los errores de los niños?</w:t>
      </w:r>
    </w:p>
    <w:p w14:paraId="270F34FF" w14:textId="77777777" w:rsidR="00300209" w:rsidRPr="00E503D4" w:rsidRDefault="00300209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Es importante analizarlos porque nos suministran información sobre como esta operando la mente de los niños (as</w:t>
      </w:r>
      <w:r w:rsidR="00E503D4" w:rsidRPr="00E503D4">
        <w:rPr>
          <w:rFonts w:ascii="TH SarabunPSK" w:hAnsi="TH SarabunPSK" w:cs="TH SarabunPSK"/>
          <w:color w:val="7030A0"/>
        </w:rPr>
        <w:t>),</w:t>
      </w:r>
      <w:r w:rsidR="000E7D7B" w:rsidRPr="00E503D4">
        <w:rPr>
          <w:rFonts w:ascii="TH SarabunPSK" w:hAnsi="TH SarabunPSK" w:cs="TH SarabunPSK" w:hint="cs"/>
          <w:color w:val="7030A0"/>
        </w:rPr>
        <w:t xml:space="preserve"> </w:t>
      </w:r>
      <w:bookmarkStart w:id="0" w:name="_GoBack"/>
      <w:bookmarkEnd w:id="0"/>
      <w:r w:rsidR="000E7D7B" w:rsidRPr="00E503D4">
        <w:rPr>
          <w:rFonts w:ascii="TH SarabunPSK" w:hAnsi="TH SarabunPSK" w:cs="TH SarabunPSK" w:hint="cs"/>
          <w:color w:val="7030A0"/>
        </w:rPr>
        <w:t xml:space="preserve">así como también nos informa sobre dificultades inherentes al objeto del conocimiento, en este caso la lengua escrita. </w:t>
      </w:r>
    </w:p>
    <w:p w14:paraId="0D70D994" w14:textId="77777777" w:rsidR="000E7D7B" w:rsidRPr="00E503D4" w:rsidRDefault="000E7D7B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 xml:space="preserve">¿Cómo se puede facilitar el aprendizaje de la escritura y lectura a los estudiantes? </w:t>
      </w:r>
    </w:p>
    <w:p w14:paraId="3D57CC6C" w14:textId="77777777" w:rsidR="000E7D7B" w:rsidRPr="00E503D4" w:rsidRDefault="000E7D7B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 xml:space="preserve">Se tiene que interactuar con ellos para que se cuestione sus hipótesis, para que elaboren otras y las pongan a prueba hasta llegar a la idea convencional que compartimos los que sabemos leer y escribir. </w:t>
      </w:r>
    </w:p>
    <w:p w14:paraId="6C4A13EA" w14:textId="77777777" w:rsidR="006E170D" w:rsidRPr="00E503D4" w:rsidRDefault="006E170D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¿Por qué es importante fomentar un ambiente alfabetizador?</w:t>
      </w:r>
    </w:p>
    <w:p w14:paraId="70EAD930" w14:textId="77777777" w:rsidR="006E170D" w:rsidRPr="00E503D4" w:rsidRDefault="006E170D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>Para que los niños aprendan a leer leyendo y a escribir escribiendo, resulta muy importante que en el aula se cuente con una variedad y cantidad de soportes materiales que portan escrituras, que tienen nombre y función</w:t>
      </w:r>
      <w:r w:rsidR="00E503D4">
        <w:rPr>
          <w:rFonts w:ascii="TH SarabunPSK" w:hAnsi="TH SarabunPSK" w:cs="TH SarabunPSK"/>
          <w:color w:val="7030A0"/>
        </w:rPr>
        <w:t>.</w:t>
      </w:r>
    </w:p>
    <w:p w14:paraId="7C9AF6E7" w14:textId="77777777" w:rsidR="006E170D" w:rsidRPr="00E503D4" w:rsidRDefault="006E170D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¿Cuál es el rol del maestro?</w:t>
      </w:r>
    </w:p>
    <w:p w14:paraId="5FFEEE7B" w14:textId="77777777" w:rsidR="00983918" w:rsidRPr="00E503D4" w:rsidRDefault="006E170D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 xml:space="preserve">Deben saber crear oportunidades para que el niño aprenda y las intervenciones deben orientarse a ofrecerle situaciones a resolver que desafíen sus saberes y guiarlo en sus avances. Crear un aula de lectores y de escritores dependiendo de nuestros saberes, nuestra creatividad y respeto por el alumno. </w:t>
      </w:r>
    </w:p>
    <w:p w14:paraId="520FDA8C" w14:textId="77777777" w:rsidR="006E170D" w:rsidRPr="00E503D4" w:rsidRDefault="006E170D">
      <w:pPr>
        <w:rPr>
          <w:rFonts w:ascii="TH SarabunPSK" w:hAnsi="TH SarabunPSK" w:cs="TH SarabunPSK" w:hint="cs"/>
        </w:rPr>
      </w:pPr>
      <w:r w:rsidRPr="00E503D4">
        <w:rPr>
          <w:rFonts w:ascii="TH SarabunPSK" w:hAnsi="TH SarabunPSK" w:cs="TH SarabunPSK" w:hint="cs"/>
        </w:rPr>
        <w:t>¿Cómo saber si el alumno ha avanzado?</w:t>
      </w:r>
    </w:p>
    <w:p w14:paraId="453FFBFC" w14:textId="77777777" w:rsidR="00983918" w:rsidRPr="00E503D4" w:rsidRDefault="00983918">
      <w:pPr>
        <w:rPr>
          <w:rFonts w:ascii="TH SarabunPSK" w:hAnsi="TH SarabunPSK" w:cs="TH SarabunPSK" w:hint="cs"/>
          <w:color w:val="7030A0"/>
        </w:rPr>
      </w:pPr>
      <w:r w:rsidRPr="00E503D4">
        <w:rPr>
          <w:rFonts w:ascii="TH SarabunPSK" w:hAnsi="TH SarabunPSK" w:cs="TH SarabunPSK" w:hint="cs"/>
          <w:color w:val="7030A0"/>
        </w:rPr>
        <w:t xml:space="preserve">Si reconoce su nombre propio u otros de los miembros del </w:t>
      </w:r>
      <w:r w:rsidR="00E503D4" w:rsidRPr="00E503D4">
        <w:rPr>
          <w:rFonts w:ascii="TH SarabunPSK" w:hAnsi="TH SarabunPSK" w:cs="TH SarabunPSK"/>
          <w:color w:val="7030A0"/>
        </w:rPr>
        <w:t>grupo, días</w:t>
      </w:r>
      <w:r w:rsidRPr="00E503D4">
        <w:rPr>
          <w:rFonts w:ascii="TH SarabunPSK" w:hAnsi="TH SarabunPSK" w:cs="TH SarabunPSK" w:hint="cs"/>
          <w:color w:val="7030A0"/>
        </w:rPr>
        <w:t xml:space="preserve"> de la semana, meses. Recurren a libros para leer o escribir</w:t>
      </w:r>
      <w:r w:rsidR="00E503D4">
        <w:rPr>
          <w:rFonts w:ascii="TH SarabunPSK" w:hAnsi="TH SarabunPSK" w:cs="TH SarabunPSK"/>
          <w:color w:val="7030A0"/>
        </w:rPr>
        <w:t>.</w:t>
      </w:r>
    </w:p>
    <w:p w14:paraId="42B2C531" w14:textId="77777777" w:rsidR="00983918" w:rsidRPr="00E503D4" w:rsidRDefault="00983918">
      <w:pPr>
        <w:rPr>
          <w:rFonts w:ascii="Myanmar Text" w:hAnsi="Myanmar Text" w:cs="Myanmar Text"/>
          <w:sz w:val="20"/>
          <w:szCs w:val="20"/>
        </w:rPr>
      </w:pPr>
    </w:p>
    <w:sectPr w:rsidR="00983918" w:rsidRPr="00E503D4" w:rsidSect="00A0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F957" w14:textId="77777777" w:rsidR="00A029B7" w:rsidRDefault="00A029B7" w:rsidP="00A029B7">
      <w:pPr>
        <w:spacing w:after="0" w:line="240" w:lineRule="auto"/>
      </w:pPr>
      <w:r>
        <w:separator/>
      </w:r>
    </w:p>
  </w:endnote>
  <w:endnote w:type="continuationSeparator" w:id="0">
    <w:p w14:paraId="7E1344D2" w14:textId="77777777" w:rsidR="00A029B7" w:rsidRDefault="00A029B7" w:rsidP="00A0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Rockwell Nova Extra Bold">
    <w:charset w:val="00"/>
    <w:family w:val="roman"/>
    <w:pitch w:val="variable"/>
    <w:sig w:usb0="80000287" w:usb1="00000002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1BC4" w14:textId="77777777" w:rsidR="00A029B7" w:rsidRDefault="00A0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D6E0" w14:textId="77777777" w:rsidR="00A029B7" w:rsidRDefault="00A029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40E7" w14:textId="77777777" w:rsidR="00A029B7" w:rsidRDefault="00A0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73915" w14:textId="77777777" w:rsidR="00A029B7" w:rsidRDefault="00A029B7" w:rsidP="00A029B7">
      <w:pPr>
        <w:spacing w:after="0" w:line="240" w:lineRule="auto"/>
      </w:pPr>
      <w:r>
        <w:separator/>
      </w:r>
    </w:p>
  </w:footnote>
  <w:footnote w:type="continuationSeparator" w:id="0">
    <w:p w14:paraId="0B9294AD" w14:textId="77777777" w:rsidR="00A029B7" w:rsidRDefault="00A029B7" w:rsidP="00A0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376A" w14:textId="77777777" w:rsidR="00A029B7" w:rsidRDefault="00A029B7">
    <w:pPr>
      <w:pStyle w:val="Encabezado"/>
    </w:pPr>
    <w:r>
      <w:rPr>
        <w:noProof/>
      </w:rPr>
      <w:pict w14:anchorId="431ED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62547" o:spid="_x0000_s2059" type="#_x0000_t75" style="position:absolute;margin-left:0;margin-top:0;width:30in;height:1973.25pt;z-index:-251657216;mso-position-horizontal:center;mso-position-horizontal-relative:margin;mso-position-vertical:center;mso-position-vertical-relative:margin" o:allowincell="f">
          <v:imagedata r:id="rId1" o:title="smarties-backgrou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F3C2" w14:textId="77777777" w:rsidR="00A029B7" w:rsidRDefault="00A029B7">
    <w:pPr>
      <w:pStyle w:val="Encabezado"/>
    </w:pPr>
    <w:r>
      <w:rPr>
        <w:noProof/>
      </w:rPr>
      <w:pict w14:anchorId="12784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62548" o:spid="_x0000_s2060" type="#_x0000_t75" style="position:absolute;margin-left:0;margin-top:0;width:30in;height:1973.25pt;z-index:-251656192;mso-position-horizontal:center;mso-position-horizontal-relative:margin;mso-position-vertical:center;mso-position-vertical-relative:margin" o:allowincell="f">
          <v:imagedata r:id="rId1" o:title="smarties-backgroun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499A" w14:textId="77777777" w:rsidR="00A029B7" w:rsidRDefault="00A029B7">
    <w:pPr>
      <w:pStyle w:val="Encabezado"/>
    </w:pPr>
    <w:r>
      <w:rPr>
        <w:noProof/>
      </w:rPr>
      <w:pict w14:anchorId="2A86C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62546" o:spid="_x0000_s2058" type="#_x0000_t75" style="position:absolute;margin-left:0;margin-top:0;width:30in;height:1973.25pt;z-index:-251658240;mso-position-horizontal:center;mso-position-horizontal-relative:margin;mso-position-vertical:center;mso-position-vertical-relative:margin" o:allowincell="f">
          <v:imagedata r:id="rId1" o:title="smarties-backgroun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3E09"/>
    <w:multiLevelType w:val="hybridMultilevel"/>
    <w:tmpl w:val="1C5EBFD4"/>
    <w:lvl w:ilvl="0" w:tplc="D648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B980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7642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7EAC1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7A76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98E07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E8646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52B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1030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B7"/>
    <w:rsid w:val="000E7D7B"/>
    <w:rsid w:val="001702DA"/>
    <w:rsid w:val="00300209"/>
    <w:rsid w:val="006E170D"/>
    <w:rsid w:val="00983918"/>
    <w:rsid w:val="009E5B93"/>
    <w:rsid w:val="00A029B7"/>
    <w:rsid w:val="00C44E91"/>
    <w:rsid w:val="00E503D4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/>
    </o:shapedefaults>
    <o:shapelayout v:ext="edit">
      <o:idmap v:ext="edit" data="1"/>
    </o:shapelayout>
  </w:shapeDefaults>
  <w:decimalSymbol w:val="."/>
  <w:listSeparator w:val=","/>
  <w14:docId w14:val="7198817A"/>
  <w15:chartTrackingRefBased/>
  <w15:docId w15:val="{D2EC93F9-B09C-45C0-92FC-0B30945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9B7"/>
  </w:style>
  <w:style w:type="paragraph" w:styleId="Piedepgina">
    <w:name w:val="footer"/>
    <w:basedOn w:val="Normal"/>
    <w:link w:val="PiedepginaCar"/>
    <w:uiPriority w:val="99"/>
    <w:unhideWhenUsed/>
    <w:rsid w:val="00A02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Adriana Rodríguez</cp:lastModifiedBy>
  <cp:revision>1</cp:revision>
  <dcterms:created xsi:type="dcterms:W3CDTF">2019-11-04T22:27:00Z</dcterms:created>
  <dcterms:modified xsi:type="dcterms:W3CDTF">2019-11-05T00:07:00Z</dcterms:modified>
</cp:coreProperties>
</file>