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A0" w:rsidRDefault="007D33A0">
      <w:r>
        <w:t>SUGERENCIA DE APRENDIZAJES ESPERADOS A CONTINUAR TRABAJANDO</w:t>
      </w:r>
    </w:p>
    <w:p w:rsidR="00B56377" w:rsidRDefault="00B56377"/>
    <w:p w:rsidR="00B56377" w:rsidRDefault="00B56377">
      <w:r>
        <w:t>Considera estrategias como los cuentos u otros que sean fáciles para los papás, ya que no son educadores y si es algo que este en línea les será más fácil.</w:t>
      </w:r>
    </w:p>
    <w:p w:rsidR="007D33A0" w:rsidRDefault="007D33A0"/>
    <w:tbl>
      <w:tblPr>
        <w:tblStyle w:val="Tablaconcuadrcula"/>
        <w:tblW w:w="0" w:type="auto"/>
        <w:tblLook w:val="04A0" w:firstRow="1" w:lastRow="0" w:firstColumn="1" w:lastColumn="0" w:noHBand="0" w:noVBand="1"/>
      </w:tblPr>
      <w:tblGrid>
        <w:gridCol w:w="2263"/>
        <w:gridCol w:w="4962"/>
        <w:gridCol w:w="5771"/>
      </w:tblGrid>
      <w:tr w:rsidR="00DC03E3" w:rsidTr="007D33A0">
        <w:tc>
          <w:tcPr>
            <w:tcW w:w="2263" w:type="dxa"/>
          </w:tcPr>
          <w:p w:rsidR="00DC03E3" w:rsidRDefault="00DC03E3">
            <w:r>
              <w:t>Dimensión</w:t>
            </w:r>
          </w:p>
        </w:tc>
        <w:tc>
          <w:tcPr>
            <w:tcW w:w="4962" w:type="dxa"/>
          </w:tcPr>
          <w:p w:rsidR="00DC03E3" w:rsidRDefault="007D33A0">
            <w:r>
              <w:t>Habilidad</w:t>
            </w:r>
          </w:p>
        </w:tc>
        <w:tc>
          <w:tcPr>
            <w:tcW w:w="5771" w:type="dxa"/>
          </w:tcPr>
          <w:p w:rsidR="00DC03E3" w:rsidRDefault="007D33A0">
            <w:r>
              <w:t>AE</w:t>
            </w:r>
          </w:p>
        </w:tc>
      </w:tr>
      <w:tr w:rsidR="00DC03E3" w:rsidTr="007D33A0">
        <w:tc>
          <w:tcPr>
            <w:tcW w:w="2263" w:type="dxa"/>
          </w:tcPr>
          <w:p w:rsidR="00DC03E3" w:rsidRPr="007D33A0" w:rsidRDefault="00B56377" w:rsidP="00DC03E3">
            <w:pPr>
              <w:rPr>
                <w:rFonts w:ascii="Century" w:hAnsi="Century"/>
                <w:sz w:val="20"/>
                <w:szCs w:val="20"/>
              </w:rPr>
            </w:pPr>
            <w:r>
              <w:rPr>
                <w:rFonts w:ascii="Century" w:hAnsi="Century"/>
                <w:sz w:val="20"/>
                <w:szCs w:val="20"/>
              </w:rPr>
              <w:t>Estos ya no los copié.</w:t>
            </w:r>
            <w:bookmarkStart w:id="0" w:name="_GoBack"/>
            <w:bookmarkEnd w:id="0"/>
          </w:p>
        </w:tc>
        <w:tc>
          <w:tcPr>
            <w:tcW w:w="4962" w:type="dxa"/>
          </w:tcPr>
          <w:p w:rsidR="00DC03E3" w:rsidRPr="007D33A0" w:rsidRDefault="00DC03E3" w:rsidP="007D33A0">
            <w:pPr>
              <w:rPr>
                <w:rFonts w:ascii="Century" w:hAnsi="Century"/>
                <w:sz w:val="20"/>
                <w:szCs w:val="20"/>
              </w:rPr>
            </w:pPr>
            <w:r w:rsidRPr="007D33A0">
              <w:rPr>
                <w:rFonts w:ascii="Century" w:hAnsi="Century"/>
                <w:sz w:val="20"/>
                <w:szCs w:val="20"/>
              </w:rPr>
              <w:t>Conciencia de las propias</w:t>
            </w:r>
            <w:r w:rsidR="007D33A0" w:rsidRPr="007D33A0">
              <w:rPr>
                <w:rFonts w:ascii="Century" w:hAnsi="Century"/>
                <w:sz w:val="20"/>
                <w:szCs w:val="20"/>
              </w:rPr>
              <w:t xml:space="preserve"> </w:t>
            </w:r>
            <w:r w:rsidRPr="007D33A0">
              <w:rPr>
                <w:rFonts w:ascii="Century" w:hAnsi="Century"/>
                <w:sz w:val="20"/>
                <w:szCs w:val="20"/>
              </w:rPr>
              <w:t>emociones</w:t>
            </w:r>
          </w:p>
        </w:tc>
        <w:tc>
          <w:tcPr>
            <w:tcW w:w="5771" w:type="dxa"/>
          </w:tcPr>
          <w:p w:rsidR="00DC03E3" w:rsidRPr="007D33A0" w:rsidRDefault="00DC03E3" w:rsidP="00DC03E3">
            <w:pPr>
              <w:autoSpaceDE w:val="0"/>
              <w:autoSpaceDN w:val="0"/>
              <w:adjustRightInd w:val="0"/>
              <w:rPr>
                <w:rFonts w:ascii="Century" w:hAnsi="Century" w:cs="TheSans-Light"/>
                <w:sz w:val="20"/>
                <w:szCs w:val="20"/>
              </w:rPr>
            </w:pPr>
            <w:r w:rsidRPr="007D33A0">
              <w:rPr>
                <w:rFonts w:ascii="Century" w:hAnsi="Century" w:cs="TheSans-Light"/>
                <w:sz w:val="20"/>
                <w:szCs w:val="20"/>
              </w:rPr>
              <w:t>Reconoce las</w:t>
            </w:r>
            <w:r w:rsidRPr="007D33A0">
              <w:rPr>
                <w:rFonts w:ascii="Century" w:hAnsi="Century" w:cs="TheSans-Light"/>
                <w:sz w:val="20"/>
                <w:szCs w:val="20"/>
              </w:rPr>
              <w:t xml:space="preserve"> </w:t>
            </w:r>
            <w:r w:rsidRPr="007D33A0">
              <w:rPr>
                <w:rFonts w:ascii="Century" w:hAnsi="Century" w:cs="TheSans-Light"/>
                <w:sz w:val="20"/>
                <w:szCs w:val="20"/>
              </w:rPr>
              <w:t>emociones básicas</w:t>
            </w:r>
            <w:r w:rsidRPr="007D33A0">
              <w:rPr>
                <w:rFonts w:ascii="Century" w:hAnsi="Century" w:cs="TheSans-Light"/>
                <w:sz w:val="20"/>
                <w:szCs w:val="20"/>
              </w:rPr>
              <w:t xml:space="preserve"> </w:t>
            </w:r>
            <w:r w:rsidRPr="007D33A0">
              <w:rPr>
                <w:rFonts w:ascii="Century" w:hAnsi="Century" w:cs="TheSans-Light"/>
                <w:sz w:val="20"/>
                <w:szCs w:val="20"/>
              </w:rPr>
              <w:t>(alegría, miedo,</w:t>
            </w:r>
            <w:r w:rsidRPr="007D33A0">
              <w:rPr>
                <w:rFonts w:ascii="Century" w:hAnsi="Century" w:cs="TheSans-Light"/>
                <w:sz w:val="20"/>
                <w:szCs w:val="20"/>
              </w:rPr>
              <w:t xml:space="preserve"> </w:t>
            </w:r>
            <w:r w:rsidRPr="007D33A0">
              <w:rPr>
                <w:rFonts w:ascii="Century" w:hAnsi="Century" w:cs="TheSans-Light"/>
                <w:sz w:val="20"/>
                <w:szCs w:val="20"/>
              </w:rPr>
              <w:t>enojo, tristeza)</w:t>
            </w:r>
            <w:r w:rsidR="007D33A0" w:rsidRPr="007D33A0">
              <w:rPr>
                <w:rFonts w:ascii="Century" w:hAnsi="Century" w:cs="TheSans-Light"/>
                <w:sz w:val="20"/>
                <w:szCs w:val="20"/>
              </w:rPr>
              <w:t xml:space="preserve"> </w:t>
            </w:r>
            <w:r w:rsidRPr="007D33A0">
              <w:rPr>
                <w:rFonts w:ascii="Century" w:hAnsi="Century" w:cs="TheSans-Light"/>
                <w:sz w:val="20"/>
                <w:szCs w:val="20"/>
              </w:rPr>
              <w:t>e identifica cómo</w:t>
            </w:r>
            <w:r w:rsidRPr="007D33A0">
              <w:rPr>
                <w:rFonts w:ascii="Century" w:hAnsi="Century" w:cs="TheSans-Light"/>
                <w:sz w:val="20"/>
                <w:szCs w:val="20"/>
              </w:rPr>
              <w:t xml:space="preserve"> </w:t>
            </w:r>
            <w:r w:rsidRPr="007D33A0">
              <w:rPr>
                <w:rFonts w:ascii="Century" w:hAnsi="Century" w:cs="TheSans-Light"/>
                <w:sz w:val="20"/>
                <w:szCs w:val="20"/>
              </w:rPr>
              <w:t>se siente ante</w:t>
            </w:r>
            <w:r w:rsidRPr="007D33A0">
              <w:rPr>
                <w:rFonts w:ascii="Century" w:hAnsi="Century" w:cs="TheSans-Light"/>
                <w:sz w:val="20"/>
                <w:szCs w:val="20"/>
              </w:rPr>
              <w:t xml:space="preserve"> </w:t>
            </w:r>
            <w:r w:rsidRPr="007D33A0">
              <w:rPr>
                <w:rFonts w:ascii="Century" w:hAnsi="Century" w:cs="TheSans-Light"/>
                <w:sz w:val="20"/>
                <w:szCs w:val="20"/>
              </w:rPr>
              <w:t>distintas situaciones.</w:t>
            </w:r>
          </w:p>
        </w:tc>
      </w:tr>
      <w:tr w:rsidR="00DC03E3" w:rsidTr="007D33A0">
        <w:tc>
          <w:tcPr>
            <w:tcW w:w="2263" w:type="dxa"/>
          </w:tcPr>
          <w:p w:rsidR="00DC03E3" w:rsidRPr="007D33A0" w:rsidRDefault="00DC03E3" w:rsidP="00DC03E3">
            <w:pPr>
              <w:rPr>
                <w:rFonts w:ascii="Century" w:hAnsi="Century"/>
                <w:sz w:val="20"/>
                <w:szCs w:val="20"/>
              </w:rPr>
            </w:pPr>
          </w:p>
        </w:tc>
        <w:tc>
          <w:tcPr>
            <w:tcW w:w="4962" w:type="dxa"/>
          </w:tcPr>
          <w:p w:rsidR="00DC03E3" w:rsidRPr="007D33A0" w:rsidRDefault="00DC03E3" w:rsidP="00DC03E3">
            <w:pPr>
              <w:rPr>
                <w:rFonts w:ascii="Century" w:hAnsi="Century"/>
                <w:sz w:val="20"/>
                <w:szCs w:val="20"/>
              </w:rPr>
            </w:pPr>
            <w:r w:rsidRPr="007D33A0">
              <w:rPr>
                <w:rFonts w:ascii="Century" w:hAnsi="Century"/>
                <w:sz w:val="20"/>
                <w:szCs w:val="20"/>
              </w:rPr>
              <w:t>Aprecio y gratitud</w:t>
            </w:r>
          </w:p>
        </w:tc>
        <w:tc>
          <w:tcPr>
            <w:tcW w:w="5771" w:type="dxa"/>
          </w:tcPr>
          <w:p w:rsidR="00DC03E3" w:rsidRPr="007D33A0" w:rsidRDefault="00DC03E3" w:rsidP="00DC03E3">
            <w:pPr>
              <w:autoSpaceDE w:val="0"/>
              <w:autoSpaceDN w:val="0"/>
              <w:adjustRightInd w:val="0"/>
              <w:rPr>
                <w:rFonts w:ascii="Century" w:hAnsi="Century" w:cs="TheSans-Light"/>
                <w:sz w:val="20"/>
                <w:szCs w:val="20"/>
              </w:rPr>
            </w:pPr>
            <w:r w:rsidRPr="007D33A0">
              <w:rPr>
                <w:rFonts w:ascii="Century" w:hAnsi="Century" w:cs="TheSans-Light"/>
                <w:sz w:val="20"/>
                <w:szCs w:val="20"/>
              </w:rPr>
              <w:t>Agradece la ayuda</w:t>
            </w:r>
            <w:r w:rsidRPr="007D33A0">
              <w:rPr>
                <w:rFonts w:ascii="Century" w:hAnsi="Century" w:cs="TheSans-Light"/>
                <w:sz w:val="20"/>
                <w:szCs w:val="20"/>
              </w:rPr>
              <w:t xml:space="preserve"> </w:t>
            </w:r>
            <w:r w:rsidRPr="007D33A0">
              <w:rPr>
                <w:rFonts w:ascii="Century" w:hAnsi="Century" w:cs="TheSans-Light"/>
                <w:sz w:val="20"/>
                <w:szCs w:val="20"/>
              </w:rPr>
              <w:t>que le brindan su</w:t>
            </w:r>
            <w:r w:rsidRPr="007D33A0">
              <w:rPr>
                <w:rFonts w:ascii="Century" w:hAnsi="Century" w:cs="TheSans-Light"/>
                <w:sz w:val="20"/>
                <w:szCs w:val="20"/>
              </w:rPr>
              <w:t xml:space="preserve"> </w:t>
            </w:r>
            <w:r w:rsidRPr="007D33A0">
              <w:rPr>
                <w:rFonts w:ascii="Century" w:hAnsi="Century" w:cs="TheSans-Light"/>
                <w:sz w:val="20"/>
                <w:szCs w:val="20"/>
              </w:rPr>
              <w:t>familia, sus maestros</w:t>
            </w:r>
            <w:r w:rsidRPr="007D33A0">
              <w:rPr>
                <w:rFonts w:ascii="Century" w:hAnsi="Century" w:cs="TheSans-Light"/>
                <w:sz w:val="20"/>
                <w:szCs w:val="20"/>
              </w:rPr>
              <w:t xml:space="preserve"> </w:t>
            </w:r>
            <w:r w:rsidRPr="007D33A0">
              <w:rPr>
                <w:rFonts w:ascii="Century" w:hAnsi="Century" w:cs="TheSans-Light"/>
                <w:sz w:val="20"/>
                <w:szCs w:val="20"/>
              </w:rPr>
              <w:t>y sus</w:t>
            </w:r>
            <w:r w:rsidRPr="007D33A0">
              <w:rPr>
                <w:rFonts w:ascii="Century" w:hAnsi="Century" w:cs="TheSans-Light"/>
                <w:sz w:val="20"/>
                <w:szCs w:val="20"/>
              </w:rPr>
              <w:t xml:space="preserve"> </w:t>
            </w:r>
            <w:r w:rsidRPr="007D33A0">
              <w:rPr>
                <w:rFonts w:ascii="Century" w:hAnsi="Century" w:cs="TheSans-Light"/>
                <w:sz w:val="20"/>
                <w:szCs w:val="20"/>
              </w:rPr>
              <w:t>compañeros.</w:t>
            </w:r>
          </w:p>
        </w:tc>
      </w:tr>
      <w:tr w:rsidR="00DC03E3" w:rsidTr="007D33A0">
        <w:tc>
          <w:tcPr>
            <w:tcW w:w="2263" w:type="dxa"/>
          </w:tcPr>
          <w:p w:rsidR="00DC03E3" w:rsidRPr="007D33A0" w:rsidRDefault="00DC03E3" w:rsidP="00DC03E3">
            <w:pPr>
              <w:rPr>
                <w:rFonts w:ascii="Century" w:hAnsi="Century"/>
                <w:sz w:val="20"/>
                <w:szCs w:val="20"/>
              </w:rPr>
            </w:pPr>
          </w:p>
        </w:tc>
        <w:tc>
          <w:tcPr>
            <w:tcW w:w="4962" w:type="dxa"/>
          </w:tcPr>
          <w:p w:rsidR="00DC03E3" w:rsidRPr="007D33A0" w:rsidRDefault="00DC03E3" w:rsidP="007D33A0">
            <w:pPr>
              <w:rPr>
                <w:rFonts w:ascii="Century" w:hAnsi="Century"/>
                <w:sz w:val="20"/>
                <w:szCs w:val="20"/>
              </w:rPr>
            </w:pPr>
            <w:r w:rsidRPr="007D33A0">
              <w:rPr>
                <w:rFonts w:ascii="Century" w:hAnsi="Century"/>
                <w:sz w:val="20"/>
                <w:szCs w:val="20"/>
              </w:rPr>
              <w:t>Expresión de las</w:t>
            </w:r>
            <w:r w:rsidR="007D33A0" w:rsidRPr="007D33A0">
              <w:rPr>
                <w:rFonts w:ascii="Century" w:hAnsi="Century"/>
                <w:sz w:val="20"/>
                <w:szCs w:val="20"/>
              </w:rPr>
              <w:t xml:space="preserve"> </w:t>
            </w:r>
            <w:r w:rsidRPr="007D33A0">
              <w:rPr>
                <w:rFonts w:ascii="Century" w:hAnsi="Century"/>
                <w:sz w:val="20"/>
                <w:szCs w:val="20"/>
              </w:rPr>
              <w:t>emociones</w:t>
            </w:r>
          </w:p>
        </w:tc>
        <w:tc>
          <w:tcPr>
            <w:tcW w:w="5771" w:type="dxa"/>
          </w:tcPr>
          <w:p w:rsidR="00DC03E3" w:rsidRPr="007D33A0" w:rsidRDefault="00DC03E3" w:rsidP="00DC03E3">
            <w:pPr>
              <w:autoSpaceDE w:val="0"/>
              <w:autoSpaceDN w:val="0"/>
              <w:adjustRightInd w:val="0"/>
              <w:rPr>
                <w:rFonts w:ascii="Century" w:hAnsi="Century" w:cs="TheSans-Light"/>
                <w:sz w:val="20"/>
                <w:szCs w:val="20"/>
              </w:rPr>
            </w:pPr>
            <w:r w:rsidRPr="007D33A0">
              <w:rPr>
                <w:rFonts w:ascii="Century" w:hAnsi="Century" w:cs="TheSans-Light"/>
                <w:sz w:val="20"/>
                <w:szCs w:val="20"/>
              </w:rPr>
              <w:t>Reconoce y nombra</w:t>
            </w:r>
            <w:r w:rsidRPr="007D33A0">
              <w:rPr>
                <w:rFonts w:ascii="Century" w:hAnsi="Century" w:cs="TheSans-Light"/>
                <w:sz w:val="20"/>
                <w:szCs w:val="20"/>
              </w:rPr>
              <w:t xml:space="preserve"> </w:t>
            </w:r>
            <w:r w:rsidRPr="007D33A0">
              <w:rPr>
                <w:rFonts w:ascii="Century" w:hAnsi="Century" w:cs="TheSans-Light"/>
                <w:sz w:val="20"/>
                <w:szCs w:val="20"/>
              </w:rPr>
              <w:t>situaciones que le</w:t>
            </w:r>
            <w:r w:rsidRPr="007D33A0">
              <w:rPr>
                <w:rFonts w:ascii="Century" w:hAnsi="Century" w:cs="TheSans-Light"/>
                <w:sz w:val="20"/>
                <w:szCs w:val="20"/>
              </w:rPr>
              <w:t xml:space="preserve"> </w:t>
            </w:r>
            <w:r w:rsidRPr="007D33A0">
              <w:rPr>
                <w:rFonts w:ascii="Century" w:hAnsi="Century" w:cs="TheSans-Light"/>
                <w:sz w:val="20"/>
                <w:szCs w:val="20"/>
              </w:rPr>
              <w:t>generan felicidad,</w:t>
            </w:r>
            <w:r w:rsidRPr="007D33A0">
              <w:rPr>
                <w:rFonts w:ascii="Century" w:hAnsi="Century" w:cs="TheSans-Light"/>
                <w:sz w:val="20"/>
                <w:szCs w:val="20"/>
              </w:rPr>
              <w:t xml:space="preserve"> </w:t>
            </w:r>
            <w:r w:rsidRPr="007D33A0">
              <w:rPr>
                <w:rFonts w:ascii="Century" w:hAnsi="Century" w:cs="TheSans-Light"/>
                <w:sz w:val="20"/>
                <w:szCs w:val="20"/>
              </w:rPr>
              <w:t>tristeza, miedo o</w:t>
            </w:r>
            <w:r w:rsidRPr="007D33A0">
              <w:rPr>
                <w:rFonts w:ascii="Century" w:hAnsi="Century" w:cs="TheSans-Light"/>
                <w:sz w:val="20"/>
                <w:szCs w:val="20"/>
              </w:rPr>
              <w:t xml:space="preserve"> </w:t>
            </w:r>
            <w:r w:rsidRPr="007D33A0">
              <w:rPr>
                <w:rFonts w:ascii="Century" w:hAnsi="Century" w:cs="TheSans-Light"/>
                <w:sz w:val="20"/>
                <w:szCs w:val="20"/>
              </w:rPr>
              <w:t>enojo.</w:t>
            </w:r>
          </w:p>
        </w:tc>
      </w:tr>
      <w:tr w:rsidR="00DC03E3" w:rsidTr="007D33A0">
        <w:tc>
          <w:tcPr>
            <w:tcW w:w="2263" w:type="dxa"/>
          </w:tcPr>
          <w:p w:rsidR="00DC03E3" w:rsidRPr="007D33A0" w:rsidRDefault="00DC03E3" w:rsidP="00DC03E3">
            <w:pPr>
              <w:rPr>
                <w:rFonts w:ascii="Century" w:hAnsi="Century"/>
                <w:sz w:val="20"/>
                <w:szCs w:val="20"/>
              </w:rPr>
            </w:pPr>
          </w:p>
        </w:tc>
        <w:tc>
          <w:tcPr>
            <w:tcW w:w="4962" w:type="dxa"/>
          </w:tcPr>
          <w:p w:rsidR="00DC03E3" w:rsidRPr="007D33A0" w:rsidRDefault="00DC03E3" w:rsidP="00DC03E3">
            <w:pPr>
              <w:rPr>
                <w:rFonts w:ascii="Century" w:hAnsi="Century"/>
                <w:sz w:val="20"/>
                <w:szCs w:val="20"/>
              </w:rPr>
            </w:pPr>
            <w:r w:rsidRPr="007D33A0">
              <w:rPr>
                <w:rFonts w:ascii="Century" w:hAnsi="Century"/>
                <w:sz w:val="20"/>
                <w:szCs w:val="20"/>
              </w:rPr>
              <w:t>Regulación de emociones</w:t>
            </w:r>
          </w:p>
        </w:tc>
        <w:tc>
          <w:tcPr>
            <w:tcW w:w="5771" w:type="dxa"/>
          </w:tcPr>
          <w:p w:rsidR="00DC03E3" w:rsidRPr="007D33A0" w:rsidRDefault="00DC03E3" w:rsidP="00DC03E3">
            <w:pPr>
              <w:autoSpaceDE w:val="0"/>
              <w:autoSpaceDN w:val="0"/>
              <w:adjustRightInd w:val="0"/>
              <w:rPr>
                <w:rFonts w:ascii="Century" w:hAnsi="Century" w:cs="TheSans-Light"/>
                <w:sz w:val="20"/>
                <w:szCs w:val="20"/>
              </w:rPr>
            </w:pPr>
            <w:r w:rsidRPr="007D33A0">
              <w:rPr>
                <w:rFonts w:ascii="Century" w:hAnsi="Century" w:cs="TheSans-Light"/>
                <w:sz w:val="20"/>
                <w:szCs w:val="20"/>
              </w:rPr>
              <w:t>Utiliza estrategias</w:t>
            </w:r>
            <w:r w:rsidR="007D33A0" w:rsidRPr="007D33A0">
              <w:rPr>
                <w:rFonts w:ascii="Century" w:hAnsi="Century" w:cs="TheSans-Light"/>
                <w:sz w:val="20"/>
                <w:szCs w:val="20"/>
              </w:rPr>
              <w:t xml:space="preserve"> </w:t>
            </w:r>
            <w:r w:rsidRPr="007D33A0">
              <w:rPr>
                <w:rFonts w:ascii="Century" w:hAnsi="Century" w:cs="TheSans-Light"/>
                <w:sz w:val="20"/>
                <w:szCs w:val="20"/>
              </w:rPr>
              <w:t>para regular</w:t>
            </w:r>
            <w:r w:rsidR="007D33A0" w:rsidRPr="007D33A0">
              <w:rPr>
                <w:rFonts w:ascii="Century" w:hAnsi="Century" w:cs="TheSans-Light"/>
                <w:sz w:val="20"/>
                <w:szCs w:val="20"/>
              </w:rPr>
              <w:t xml:space="preserve"> </w:t>
            </w:r>
            <w:r w:rsidRPr="007D33A0">
              <w:rPr>
                <w:rFonts w:ascii="Century" w:hAnsi="Century" w:cs="TheSans-Light"/>
                <w:sz w:val="20"/>
                <w:szCs w:val="20"/>
              </w:rPr>
              <w:t>emociones como el</w:t>
            </w:r>
            <w:r w:rsidR="007D33A0" w:rsidRPr="007D33A0">
              <w:rPr>
                <w:rFonts w:ascii="Century" w:hAnsi="Century" w:cs="TheSans-Light"/>
                <w:sz w:val="20"/>
                <w:szCs w:val="20"/>
              </w:rPr>
              <w:t xml:space="preserve"> enojo, el miedo o la </w:t>
            </w:r>
            <w:r w:rsidRPr="007D33A0">
              <w:rPr>
                <w:rFonts w:ascii="Century" w:hAnsi="Century" w:cs="TheSans-Light"/>
                <w:sz w:val="20"/>
                <w:szCs w:val="20"/>
              </w:rPr>
              <w:t>tristeza.</w:t>
            </w:r>
          </w:p>
        </w:tc>
      </w:tr>
      <w:tr w:rsidR="00DC03E3" w:rsidTr="007D33A0">
        <w:tc>
          <w:tcPr>
            <w:tcW w:w="2263" w:type="dxa"/>
          </w:tcPr>
          <w:p w:rsidR="00DC03E3" w:rsidRPr="007D33A0" w:rsidRDefault="00DC03E3" w:rsidP="00DC03E3">
            <w:pPr>
              <w:rPr>
                <w:rFonts w:ascii="Century" w:hAnsi="Century"/>
                <w:sz w:val="20"/>
                <w:szCs w:val="20"/>
              </w:rPr>
            </w:pPr>
          </w:p>
        </w:tc>
        <w:tc>
          <w:tcPr>
            <w:tcW w:w="4962" w:type="dxa"/>
          </w:tcPr>
          <w:p w:rsidR="00DC03E3" w:rsidRPr="007D33A0" w:rsidRDefault="00DC03E3" w:rsidP="007D33A0">
            <w:pPr>
              <w:rPr>
                <w:rFonts w:ascii="Century" w:hAnsi="Century"/>
                <w:sz w:val="20"/>
                <w:szCs w:val="20"/>
              </w:rPr>
            </w:pPr>
            <w:r w:rsidRPr="007D33A0">
              <w:rPr>
                <w:rFonts w:ascii="Century" w:hAnsi="Century"/>
                <w:sz w:val="20"/>
                <w:szCs w:val="20"/>
              </w:rPr>
              <w:t>Autogeneración de</w:t>
            </w:r>
            <w:r w:rsidR="007D33A0" w:rsidRPr="007D33A0">
              <w:rPr>
                <w:rFonts w:ascii="Century" w:hAnsi="Century"/>
                <w:sz w:val="20"/>
                <w:szCs w:val="20"/>
              </w:rPr>
              <w:t xml:space="preserve"> </w:t>
            </w:r>
            <w:r w:rsidRPr="007D33A0">
              <w:rPr>
                <w:rFonts w:ascii="Century" w:hAnsi="Century"/>
                <w:sz w:val="20"/>
                <w:szCs w:val="20"/>
              </w:rPr>
              <w:t>emociones para el</w:t>
            </w:r>
            <w:r w:rsidR="007D33A0" w:rsidRPr="007D33A0">
              <w:rPr>
                <w:rFonts w:ascii="Century" w:hAnsi="Century"/>
                <w:sz w:val="20"/>
                <w:szCs w:val="20"/>
              </w:rPr>
              <w:t xml:space="preserve"> </w:t>
            </w:r>
            <w:r w:rsidRPr="007D33A0">
              <w:rPr>
                <w:rFonts w:ascii="Century" w:hAnsi="Century"/>
                <w:sz w:val="20"/>
                <w:szCs w:val="20"/>
              </w:rPr>
              <w:t>bienestar</w:t>
            </w:r>
          </w:p>
        </w:tc>
        <w:tc>
          <w:tcPr>
            <w:tcW w:w="5771" w:type="dxa"/>
          </w:tcPr>
          <w:p w:rsidR="00DC03E3" w:rsidRPr="007D33A0" w:rsidRDefault="00DC03E3" w:rsidP="007D33A0">
            <w:pPr>
              <w:autoSpaceDE w:val="0"/>
              <w:autoSpaceDN w:val="0"/>
              <w:adjustRightInd w:val="0"/>
              <w:rPr>
                <w:rFonts w:ascii="Century" w:hAnsi="Century" w:cs="TheSans-Light"/>
                <w:sz w:val="20"/>
                <w:szCs w:val="20"/>
              </w:rPr>
            </w:pPr>
            <w:r w:rsidRPr="007D33A0">
              <w:rPr>
                <w:rFonts w:ascii="Century" w:hAnsi="Century" w:cs="TheSans-Light"/>
                <w:sz w:val="20"/>
                <w:szCs w:val="20"/>
              </w:rPr>
              <w:t>Reconoce qué lo</w:t>
            </w:r>
            <w:r w:rsidR="007D33A0" w:rsidRPr="007D33A0">
              <w:rPr>
                <w:rFonts w:ascii="Century" w:hAnsi="Century" w:cs="TheSans-Light"/>
                <w:sz w:val="20"/>
                <w:szCs w:val="20"/>
              </w:rPr>
              <w:t xml:space="preserve"> </w:t>
            </w:r>
            <w:r w:rsidRPr="007D33A0">
              <w:rPr>
                <w:rFonts w:ascii="Century" w:hAnsi="Century" w:cs="TheSans-Light"/>
                <w:sz w:val="20"/>
                <w:szCs w:val="20"/>
              </w:rPr>
              <w:t>hace sentirse alegre,</w:t>
            </w:r>
            <w:r w:rsidR="007D33A0" w:rsidRPr="007D33A0">
              <w:rPr>
                <w:rFonts w:ascii="Century" w:hAnsi="Century" w:cs="TheSans-Light"/>
                <w:sz w:val="20"/>
                <w:szCs w:val="20"/>
              </w:rPr>
              <w:t xml:space="preserve"> </w:t>
            </w:r>
            <w:r w:rsidRPr="007D33A0">
              <w:rPr>
                <w:rFonts w:ascii="Century" w:hAnsi="Century" w:cs="TheSans-Light"/>
                <w:sz w:val="20"/>
                <w:szCs w:val="20"/>
              </w:rPr>
              <w:t>seguro y feliz.</w:t>
            </w:r>
          </w:p>
        </w:tc>
      </w:tr>
      <w:tr w:rsidR="00DC03E3" w:rsidTr="007D33A0">
        <w:tc>
          <w:tcPr>
            <w:tcW w:w="2263" w:type="dxa"/>
          </w:tcPr>
          <w:p w:rsidR="00DC03E3" w:rsidRPr="007D33A0" w:rsidRDefault="00DC03E3" w:rsidP="00DC03E3">
            <w:pPr>
              <w:rPr>
                <w:rFonts w:ascii="Century" w:hAnsi="Century"/>
                <w:sz w:val="20"/>
                <w:szCs w:val="20"/>
              </w:rPr>
            </w:pPr>
          </w:p>
        </w:tc>
        <w:tc>
          <w:tcPr>
            <w:tcW w:w="4962" w:type="dxa"/>
          </w:tcPr>
          <w:p w:rsidR="00DC03E3" w:rsidRPr="007D33A0" w:rsidRDefault="00DC03E3" w:rsidP="00DC03E3">
            <w:pPr>
              <w:autoSpaceDE w:val="0"/>
              <w:autoSpaceDN w:val="0"/>
              <w:adjustRightInd w:val="0"/>
              <w:rPr>
                <w:rFonts w:ascii="Century" w:hAnsi="Century" w:cs="TheSans-BoldPlain"/>
                <w:bCs/>
                <w:sz w:val="20"/>
                <w:szCs w:val="20"/>
              </w:rPr>
            </w:pPr>
            <w:r w:rsidRPr="007D33A0">
              <w:rPr>
                <w:rFonts w:ascii="Century" w:hAnsi="Century" w:cs="TheSans-BoldPlain"/>
                <w:bCs/>
                <w:sz w:val="20"/>
                <w:szCs w:val="20"/>
              </w:rPr>
              <w:t>Toma de</w:t>
            </w:r>
            <w:r w:rsidR="007D33A0" w:rsidRPr="007D33A0">
              <w:rPr>
                <w:rFonts w:ascii="Century" w:hAnsi="Century" w:cs="TheSans-BoldPlain"/>
                <w:bCs/>
                <w:sz w:val="20"/>
                <w:szCs w:val="20"/>
              </w:rPr>
              <w:t xml:space="preserve"> </w:t>
            </w:r>
            <w:r w:rsidRPr="007D33A0">
              <w:rPr>
                <w:rFonts w:ascii="Century" w:hAnsi="Century" w:cs="TheSans-BoldPlain"/>
                <w:bCs/>
                <w:sz w:val="20"/>
                <w:szCs w:val="20"/>
              </w:rPr>
              <w:t>perspectiva</w:t>
            </w:r>
            <w:r w:rsidR="007D33A0" w:rsidRPr="007D33A0">
              <w:rPr>
                <w:rFonts w:ascii="Century" w:hAnsi="Century" w:cs="TheSans-BoldPlain"/>
                <w:bCs/>
                <w:sz w:val="20"/>
                <w:szCs w:val="20"/>
              </w:rPr>
              <w:t xml:space="preserve"> </w:t>
            </w:r>
            <w:r w:rsidRPr="007D33A0">
              <w:rPr>
                <w:rFonts w:ascii="Century" w:hAnsi="Century" w:cs="TheSans-BoldPlain"/>
                <w:bCs/>
                <w:sz w:val="20"/>
                <w:szCs w:val="20"/>
              </w:rPr>
              <w:t>en</w:t>
            </w:r>
            <w:r w:rsidR="007D33A0" w:rsidRPr="007D33A0">
              <w:rPr>
                <w:rFonts w:ascii="Century" w:hAnsi="Century" w:cs="TheSans-BoldPlain"/>
                <w:bCs/>
                <w:sz w:val="20"/>
                <w:szCs w:val="20"/>
              </w:rPr>
              <w:t xml:space="preserve"> situaciones </w:t>
            </w:r>
            <w:r w:rsidRPr="007D33A0">
              <w:rPr>
                <w:rFonts w:ascii="Century" w:hAnsi="Century" w:cs="TheSans-BoldPlain"/>
                <w:bCs/>
                <w:sz w:val="20"/>
                <w:szCs w:val="20"/>
              </w:rPr>
              <w:t>de desacuerdo</w:t>
            </w:r>
          </w:p>
          <w:p w:rsidR="00DC03E3" w:rsidRPr="007D33A0" w:rsidRDefault="00DC03E3" w:rsidP="00DC03E3">
            <w:pPr>
              <w:rPr>
                <w:rFonts w:ascii="Century" w:hAnsi="Century"/>
                <w:sz w:val="20"/>
                <w:szCs w:val="20"/>
              </w:rPr>
            </w:pPr>
            <w:r w:rsidRPr="007D33A0">
              <w:rPr>
                <w:rFonts w:ascii="Century" w:hAnsi="Century" w:cs="TheSans-BoldPlain"/>
                <w:bCs/>
                <w:sz w:val="20"/>
                <w:szCs w:val="20"/>
              </w:rPr>
              <w:t>o conflicto</w:t>
            </w:r>
          </w:p>
        </w:tc>
        <w:tc>
          <w:tcPr>
            <w:tcW w:w="5771" w:type="dxa"/>
          </w:tcPr>
          <w:p w:rsidR="00DC03E3" w:rsidRPr="007D33A0" w:rsidRDefault="00DC03E3" w:rsidP="007D33A0">
            <w:pPr>
              <w:autoSpaceDE w:val="0"/>
              <w:autoSpaceDN w:val="0"/>
              <w:adjustRightInd w:val="0"/>
              <w:rPr>
                <w:rFonts w:ascii="Century" w:hAnsi="Century" w:cs="TheSans-Light"/>
                <w:sz w:val="20"/>
                <w:szCs w:val="20"/>
              </w:rPr>
            </w:pPr>
            <w:r w:rsidRPr="007D33A0">
              <w:rPr>
                <w:rFonts w:ascii="Century" w:hAnsi="Century" w:cs="TheSans-Light"/>
                <w:sz w:val="20"/>
                <w:szCs w:val="20"/>
              </w:rPr>
              <w:t>Habla sobre sus</w:t>
            </w:r>
            <w:r w:rsidR="007D33A0" w:rsidRPr="007D33A0">
              <w:rPr>
                <w:rFonts w:ascii="Century" w:hAnsi="Century" w:cs="TheSans-Light"/>
                <w:sz w:val="20"/>
                <w:szCs w:val="20"/>
              </w:rPr>
              <w:t xml:space="preserve"> </w:t>
            </w:r>
            <w:r w:rsidRPr="007D33A0">
              <w:rPr>
                <w:rFonts w:ascii="Century" w:hAnsi="Century" w:cs="TheSans-Light"/>
                <w:sz w:val="20"/>
                <w:szCs w:val="20"/>
              </w:rPr>
              <w:t>conductas y las de</w:t>
            </w:r>
            <w:r w:rsidR="007D33A0" w:rsidRPr="007D33A0">
              <w:rPr>
                <w:rFonts w:ascii="Century" w:hAnsi="Century" w:cs="TheSans-Light"/>
                <w:sz w:val="20"/>
                <w:szCs w:val="20"/>
              </w:rPr>
              <w:t xml:space="preserve"> </w:t>
            </w:r>
            <w:r w:rsidRPr="007D33A0">
              <w:rPr>
                <w:rFonts w:ascii="Century" w:hAnsi="Century" w:cs="TheSans-Light"/>
                <w:sz w:val="20"/>
                <w:szCs w:val="20"/>
              </w:rPr>
              <w:t>sus compañeros</w:t>
            </w:r>
            <w:r w:rsidR="007D33A0" w:rsidRPr="007D33A0">
              <w:rPr>
                <w:rFonts w:ascii="Century" w:hAnsi="Century" w:cs="TheSans-Light"/>
                <w:sz w:val="20"/>
                <w:szCs w:val="20"/>
              </w:rPr>
              <w:t xml:space="preserve"> </w:t>
            </w:r>
            <w:r w:rsidRPr="007D33A0">
              <w:rPr>
                <w:rFonts w:ascii="Century" w:hAnsi="Century" w:cs="TheSans-Light"/>
                <w:sz w:val="20"/>
                <w:szCs w:val="20"/>
              </w:rPr>
              <w:t>en situaciones de</w:t>
            </w:r>
            <w:r w:rsidR="007D33A0" w:rsidRPr="007D33A0">
              <w:rPr>
                <w:rFonts w:ascii="Century" w:hAnsi="Century" w:cs="TheSans-Light"/>
                <w:sz w:val="20"/>
                <w:szCs w:val="20"/>
              </w:rPr>
              <w:t xml:space="preserve"> </w:t>
            </w:r>
            <w:r w:rsidRPr="007D33A0">
              <w:rPr>
                <w:rFonts w:ascii="Century" w:hAnsi="Century" w:cs="TheSans-Light"/>
                <w:sz w:val="20"/>
                <w:szCs w:val="20"/>
              </w:rPr>
              <w:t>desacuerdo.</w:t>
            </w:r>
          </w:p>
        </w:tc>
      </w:tr>
    </w:tbl>
    <w:p w:rsidR="00B56377" w:rsidRDefault="00B56377"/>
    <w:p w:rsidR="00B56377" w:rsidRDefault="00B56377">
      <w:r>
        <w:t>Involucra a los padres con algunas estrategias para aprovechar el tiempo de la contingencia hablando con sus hijos. Por ejemplo sobre que los hacía felices cuando eran niños, que les gusta más de sus hijos, que hacen cuando no pueden hacer algo (para que hablen de pedir ayuda), etc. Que son algunos de los otros AE del desarrollo socioemocional.</w:t>
      </w:r>
    </w:p>
    <w:sectPr w:rsidR="00B56377" w:rsidSect="00DC03E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heSans-Light">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E3"/>
    <w:rsid w:val="007D33A0"/>
    <w:rsid w:val="00B56377"/>
    <w:rsid w:val="00DC03E3"/>
    <w:rsid w:val="00F80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EF1E0-491B-4AB0-8B39-6DAA98BE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0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ENEP</cp:lastModifiedBy>
  <cp:revision>2</cp:revision>
  <dcterms:created xsi:type="dcterms:W3CDTF">2020-05-01T22:38:00Z</dcterms:created>
  <dcterms:modified xsi:type="dcterms:W3CDTF">2020-05-01T22:51:00Z</dcterms:modified>
</cp:coreProperties>
</file>