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CB" w:rsidRDefault="00DC17CB" w:rsidP="00DC17CB">
      <w:pPr>
        <w:jc w:val="center"/>
        <w:rPr>
          <w:rFonts w:ascii="Arial" w:hAnsi="Arial" w:cs="Arial"/>
          <w:sz w:val="32"/>
          <w:szCs w:val="32"/>
        </w:rPr>
      </w:pPr>
    </w:p>
    <w:p w:rsidR="00DC17CB" w:rsidRDefault="00DC17CB" w:rsidP="00DC17CB">
      <w:pPr>
        <w:jc w:val="center"/>
        <w:rPr>
          <w:rFonts w:ascii="Arial" w:hAnsi="Arial" w:cs="Arial"/>
          <w:sz w:val="32"/>
          <w:szCs w:val="32"/>
        </w:rPr>
      </w:pPr>
    </w:p>
    <w:p w:rsidR="00DC17CB" w:rsidRDefault="00DC17CB" w:rsidP="00DC17CB">
      <w:pPr>
        <w:jc w:val="center"/>
        <w:rPr>
          <w:rFonts w:ascii="Arial" w:hAnsi="Arial" w:cs="Arial"/>
          <w:sz w:val="32"/>
          <w:szCs w:val="32"/>
        </w:rPr>
      </w:pPr>
    </w:p>
    <w:p w:rsidR="00DC17CB" w:rsidRDefault="00DC17CB" w:rsidP="00DC17CB">
      <w:pPr>
        <w:jc w:val="center"/>
        <w:rPr>
          <w:rFonts w:ascii="Arial" w:hAnsi="Arial" w:cs="Arial"/>
          <w:sz w:val="32"/>
          <w:szCs w:val="32"/>
        </w:rPr>
      </w:pPr>
    </w:p>
    <w:p w:rsidR="00DC17CB" w:rsidRDefault="00DC17CB" w:rsidP="00DC17CB">
      <w:pPr>
        <w:jc w:val="center"/>
        <w:rPr>
          <w:rFonts w:ascii="Arial" w:hAnsi="Arial" w:cs="Arial"/>
          <w:sz w:val="32"/>
          <w:szCs w:val="32"/>
        </w:rPr>
      </w:pPr>
    </w:p>
    <w:p w:rsidR="00DC17CB" w:rsidRDefault="00DC17CB" w:rsidP="00DC17CB">
      <w:pPr>
        <w:jc w:val="center"/>
        <w:rPr>
          <w:rFonts w:ascii="Arial" w:hAnsi="Arial" w:cs="Arial"/>
          <w:sz w:val="32"/>
          <w:szCs w:val="32"/>
        </w:rPr>
      </w:pPr>
      <w:r w:rsidRPr="00DC17CB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FA81DCC" wp14:editId="5F8BDE52">
            <wp:simplePos x="0" y="0"/>
            <wp:positionH relativeFrom="column">
              <wp:posOffset>-1011752</wp:posOffset>
            </wp:positionH>
            <wp:positionV relativeFrom="page">
              <wp:posOffset>2943247</wp:posOffset>
            </wp:positionV>
            <wp:extent cx="1403350" cy="1043940"/>
            <wp:effectExtent l="0" t="0" r="6350" b="381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7CB" w:rsidRPr="00DC17CB" w:rsidRDefault="00DC17CB" w:rsidP="00DC17CB">
      <w:pPr>
        <w:jc w:val="center"/>
        <w:rPr>
          <w:rFonts w:ascii="Arial" w:hAnsi="Arial" w:cs="Arial"/>
          <w:sz w:val="32"/>
          <w:szCs w:val="32"/>
        </w:rPr>
      </w:pPr>
      <w:r w:rsidRPr="00DC17CB">
        <w:rPr>
          <w:rFonts w:ascii="Arial" w:hAnsi="Arial" w:cs="Arial"/>
          <w:sz w:val="32"/>
          <w:szCs w:val="32"/>
        </w:rPr>
        <w:t>ESCUELA NORMAL DE EDUCACION  PREESCOLAR.</w:t>
      </w:r>
    </w:p>
    <w:p w:rsidR="00DC17CB" w:rsidRPr="00DC17CB" w:rsidRDefault="00DC17CB" w:rsidP="00DC17CB">
      <w:pPr>
        <w:jc w:val="center"/>
        <w:rPr>
          <w:rFonts w:ascii="Arial" w:hAnsi="Arial" w:cs="Arial"/>
          <w:sz w:val="32"/>
          <w:szCs w:val="32"/>
        </w:rPr>
      </w:pPr>
      <w:r w:rsidRPr="00DC17CB">
        <w:rPr>
          <w:rFonts w:ascii="Arial" w:hAnsi="Arial" w:cs="Arial"/>
          <w:sz w:val="32"/>
          <w:szCs w:val="32"/>
        </w:rPr>
        <w:t>Licenciatura En Educación Preescolar.</w:t>
      </w:r>
    </w:p>
    <w:p w:rsidR="00DC17CB" w:rsidRPr="00CA6081" w:rsidRDefault="00DC17CB" w:rsidP="00DC1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6C2" w:rsidRDefault="00DC17CB" w:rsidP="00DC17CB">
      <w:pPr>
        <w:jc w:val="center"/>
        <w:rPr>
          <w:rFonts w:ascii="Arial" w:hAnsi="Arial" w:cs="Arial"/>
          <w:sz w:val="28"/>
          <w:szCs w:val="28"/>
        </w:rPr>
      </w:pPr>
      <w:r w:rsidRPr="00DC17CB">
        <w:rPr>
          <w:rFonts w:ascii="Arial" w:hAnsi="Arial" w:cs="Arial"/>
          <w:sz w:val="28"/>
          <w:szCs w:val="28"/>
        </w:rPr>
        <w:t>Forma, espacio y medida</w:t>
      </w:r>
      <w:r>
        <w:rPr>
          <w:rFonts w:ascii="Arial" w:hAnsi="Arial" w:cs="Arial"/>
          <w:sz w:val="28"/>
          <w:szCs w:val="28"/>
        </w:rPr>
        <w:t>.</w:t>
      </w:r>
    </w:p>
    <w:p w:rsidR="00DC17CB" w:rsidRPr="00DC17CB" w:rsidRDefault="00DC17CB" w:rsidP="00DC17CB">
      <w:pPr>
        <w:jc w:val="center"/>
        <w:rPr>
          <w:rFonts w:ascii="Arial" w:hAnsi="Arial" w:cs="Arial"/>
          <w:sz w:val="28"/>
          <w:szCs w:val="28"/>
        </w:rPr>
      </w:pPr>
    </w:p>
    <w:p w:rsidR="00DC17CB" w:rsidRDefault="00DC17CB" w:rsidP="00DC17C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C17CB">
        <w:rPr>
          <w:rFonts w:ascii="Arial" w:hAnsi="Arial" w:cs="Arial"/>
          <w:sz w:val="28"/>
          <w:szCs w:val="28"/>
        </w:rPr>
        <w:t>“</w:t>
      </w:r>
      <w:r w:rsidRPr="00DC17CB">
        <w:rPr>
          <w:rFonts w:ascii="Arial" w:hAnsi="Arial" w:cs="Arial"/>
          <w:color w:val="000000"/>
          <w:sz w:val="28"/>
          <w:szCs w:val="28"/>
        </w:rPr>
        <w:t>L</w:t>
      </w:r>
      <w:r w:rsidRPr="00DC17CB">
        <w:rPr>
          <w:rFonts w:ascii="Arial" w:hAnsi="Arial" w:cs="Arial"/>
          <w:color w:val="000000"/>
          <w:sz w:val="28"/>
          <w:szCs w:val="28"/>
        </w:rPr>
        <w:t>a enseñanza en la geometría  en el Jardín de infantes</w:t>
      </w:r>
      <w:r w:rsidRPr="00DC17CB">
        <w:rPr>
          <w:rFonts w:ascii="Arial" w:hAnsi="Arial" w:cs="Arial"/>
          <w:color w:val="000000"/>
          <w:sz w:val="28"/>
          <w:szCs w:val="28"/>
        </w:rPr>
        <w:t>”.</w:t>
      </w:r>
    </w:p>
    <w:p w:rsidR="00DC17CB" w:rsidRPr="00DC17CB" w:rsidRDefault="00EE22A2" w:rsidP="00DC17C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C17CB">
        <w:rPr>
          <w:rFonts w:ascii="Arial" w:hAnsi="Arial" w:cs="Arial"/>
          <w:color w:val="000000"/>
          <w:sz w:val="28"/>
          <w:szCs w:val="28"/>
        </w:rPr>
        <w:t>Capítulo</w:t>
      </w:r>
      <w:r w:rsidR="00DC17CB" w:rsidRPr="00DC17CB">
        <w:rPr>
          <w:rFonts w:ascii="Arial" w:hAnsi="Arial" w:cs="Arial"/>
          <w:color w:val="000000"/>
          <w:sz w:val="28"/>
          <w:szCs w:val="28"/>
        </w:rPr>
        <w:t xml:space="preserve"> 2 </w:t>
      </w:r>
      <w:r w:rsidR="00DC17CB" w:rsidRPr="00DC17CB">
        <w:rPr>
          <w:rFonts w:ascii="Arial" w:hAnsi="Arial" w:cs="Arial"/>
          <w:sz w:val="28"/>
          <w:szCs w:val="28"/>
        </w:rPr>
        <w:t>La enseñanza de los conocimientos espaciales en el Nivel Inicial</w:t>
      </w:r>
      <w:r w:rsidR="00DC17CB">
        <w:rPr>
          <w:rFonts w:ascii="Arial" w:hAnsi="Arial" w:cs="Arial"/>
          <w:sz w:val="28"/>
          <w:szCs w:val="28"/>
        </w:rPr>
        <w:t>.</w:t>
      </w:r>
    </w:p>
    <w:p w:rsidR="00DC17CB" w:rsidRDefault="00DC17CB" w:rsidP="00DC17C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C17CB">
        <w:rPr>
          <w:rFonts w:ascii="Arial" w:hAnsi="Arial" w:cs="Arial"/>
          <w:color w:val="000000"/>
          <w:sz w:val="28"/>
          <w:szCs w:val="28"/>
        </w:rPr>
        <w:t>Quaranta y Ressia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C17CB" w:rsidRPr="00DC17CB" w:rsidRDefault="00DC17CB" w:rsidP="00DC17C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DC17CB" w:rsidRDefault="00DC17CB" w:rsidP="00DC17C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DC17CB">
        <w:rPr>
          <w:rFonts w:ascii="Arial" w:hAnsi="Arial" w:cs="Arial"/>
          <w:color w:val="000000"/>
          <w:sz w:val="28"/>
          <w:szCs w:val="28"/>
        </w:rPr>
        <w:t>Lorena Iracheta Vélez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C17CB" w:rsidRPr="00DC17CB" w:rsidRDefault="00DC17CB" w:rsidP="00DC17C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DC17CB" w:rsidRPr="00DC17CB" w:rsidRDefault="00DC17CB" w:rsidP="00DC17CB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Semestre 1 </w:t>
      </w:r>
      <w:r w:rsidR="00EE22A2">
        <w:rPr>
          <w:rFonts w:ascii="Arial" w:hAnsi="Arial" w:cs="Arial"/>
          <w:color w:val="000000"/>
          <w:sz w:val="28"/>
          <w:szCs w:val="28"/>
        </w:rPr>
        <w:t>Sección</w:t>
      </w:r>
      <w:r>
        <w:rPr>
          <w:rFonts w:ascii="Arial" w:hAnsi="Arial" w:cs="Arial"/>
          <w:color w:val="000000"/>
          <w:sz w:val="28"/>
          <w:szCs w:val="28"/>
        </w:rPr>
        <w:t>:</w:t>
      </w:r>
      <w:r w:rsidRPr="00DC17CB">
        <w:rPr>
          <w:rFonts w:ascii="Arial" w:hAnsi="Arial" w:cs="Arial"/>
          <w:color w:val="000000"/>
          <w:sz w:val="28"/>
          <w:szCs w:val="28"/>
        </w:rPr>
        <w:t xml:space="preserve"> A</w:t>
      </w:r>
    </w:p>
    <w:p w:rsidR="00DC17CB" w:rsidRDefault="00DC17CB"/>
    <w:p w:rsidR="00DC17CB" w:rsidRDefault="00DC17CB"/>
    <w:p w:rsidR="00DC17CB" w:rsidRDefault="00DC17CB"/>
    <w:p w:rsidR="00DC17CB" w:rsidRDefault="00DC17CB"/>
    <w:p w:rsidR="00DC17CB" w:rsidRDefault="00DC17CB"/>
    <w:p w:rsidR="00DC17CB" w:rsidRDefault="00DC17CB"/>
    <w:p w:rsidR="00DC17CB" w:rsidRDefault="00DC17CB"/>
    <w:p w:rsidR="004F12B0" w:rsidRDefault="00DC17CB">
      <w:pPr>
        <w:rPr>
          <w:rFonts w:ascii="Arial" w:hAnsi="Arial" w:cs="Arial"/>
          <w:sz w:val="24"/>
          <w:szCs w:val="24"/>
        </w:rPr>
      </w:pPr>
      <w:r w:rsidRPr="004F12B0">
        <w:rPr>
          <w:rFonts w:ascii="Arial" w:hAnsi="Arial" w:cs="Arial"/>
          <w:sz w:val="24"/>
          <w:szCs w:val="24"/>
        </w:rPr>
        <w:lastRenderedPageBreak/>
        <w:t>En el patio, trazar con tiza o pintura una cuadrícula con las medidas suficientes para que en cada cuadrado quepa un niño. Por ejemplo</w:t>
      </w:r>
      <w:r w:rsidR="004F12B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4F12B0" w:rsidTr="004F12B0">
        <w:trPr>
          <w:trHeight w:val="265"/>
          <w:jc w:val="center"/>
        </w:trPr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2B0" w:rsidTr="004F12B0">
        <w:trPr>
          <w:trHeight w:val="265"/>
          <w:jc w:val="center"/>
        </w:trPr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 w:rsidP="004F1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2B0" w:rsidTr="004F12B0">
        <w:trPr>
          <w:trHeight w:val="265"/>
          <w:jc w:val="center"/>
        </w:trPr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2B0" w:rsidTr="004F12B0">
        <w:trPr>
          <w:trHeight w:val="265"/>
          <w:jc w:val="center"/>
        </w:trPr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2B0" w:rsidTr="004F12B0">
        <w:trPr>
          <w:trHeight w:val="265"/>
          <w:jc w:val="center"/>
        </w:trPr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2B0" w:rsidTr="004F12B0">
        <w:trPr>
          <w:trHeight w:val="265"/>
          <w:jc w:val="center"/>
        </w:trPr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:rsidR="004F12B0" w:rsidRDefault="004F1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2B0" w:rsidRDefault="004F12B0">
      <w:pPr>
        <w:rPr>
          <w:rFonts w:ascii="Arial" w:hAnsi="Arial" w:cs="Arial"/>
          <w:sz w:val="24"/>
          <w:szCs w:val="24"/>
        </w:rPr>
      </w:pPr>
    </w:p>
    <w:p w:rsidR="00DC17CB" w:rsidRDefault="00DC17CB">
      <w:r w:rsidRPr="004F12B0">
        <w:rPr>
          <w:rFonts w:ascii="Arial" w:hAnsi="Arial" w:cs="Arial"/>
          <w:sz w:val="24"/>
          <w:szCs w:val="24"/>
        </w:rPr>
        <w:t xml:space="preserve"> Se propone jugar a recorrer caminos y tratar de llegar de un punto a otro. Habrá que discutir y acordar si recorrerán los caminos por las líneas de la cuadrícula o por los espacios entre las líneas. Los recorridos se definen en términos de una cantidad de “casilleros o cuadraditos hacia delante, atrás, a la izquierda, a la derecha”. Será interesante que surja el problema de qué se va a considerar hacia delante, atrás, a la izquierda o a la derecha. Se puede pedir a los alumnos que encuentren distintos caminos, los más largos y los más cortos. Esto lo llevará a determinar alguna forma de comparación de la longitud de los caminos, por ejemplo a través del conteo de los cuadrados. Se les puede pedir, por grupos, ante una reproducción </w:t>
      </w:r>
      <w:r w:rsidR="004F12B0">
        <w:rPr>
          <w:rFonts w:ascii="Arial" w:hAnsi="Arial" w:cs="Arial"/>
          <w:sz w:val="24"/>
          <w:szCs w:val="24"/>
        </w:rPr>
        <w:t>de la cuadrícula en papel entre</w:t>
      </w:r>
      <w:r w:rsidRPr="004F12B0">
        <w:rPr>
          <w:rFonts w:ascii="Arial" w:hAnsi="Arial" w:cs="Arial"/>
          <w:sz w:val="24"/>
          <w:szCs w:val="24"/>
        </w:rPr>
        <w:t>gada por el docente, que diseñen un camino para ir de un punto a otro, para que con ese “mapa” otro grupo pueda realizarlo sobre la cuadrícula del patio</w:t>
      </w:r>
      <w:r>
        <w:t>.</w:t>
      </w:r>
    </w:p>
    <w:p w:rsidR="004F12B0" w:rsidRDefault="004F12B0"/>
    <w:p w:rsidR="004F12B0" w:rsidRDefault="00A36BC1">
      <w:r>
        <w:t>No considero buena idea hacer un</w:t>
      </w:r>
      <w:r w:rsidR="00A146E5">
        <w:t>a cuadricula en el patio, ya</w:t>
      </w:r>
      <w:r>
        <w:t xml:space="preserve"> que no tienen puntos de </w:t>
      </w:r>
      <w:r w:rsidR="00A146E5">
        <w:t xml:space="preserve">referencia y si son niños que </w:t>
      </w:r>
      <w:r w:rsidR="00EE22A2">
        <w:t>aún</w:t>
      </w:r>
      <w:r w:rsidR="00A146E5">
        <w:t xml:space="preserve"> no </w:t>
      </w:r>
      <w:r w:rsidR="00EE22A2">
        <w:t>dominan</w:t>
      </w:r>
      <w:r w:rsidR="00A146E5">
        <w:t xml:space="preserve"> por completo el conteo, se les dificultara llegar hacia el lugar que se les solicita. Lo que </w:t>
      </w:r>
      <w:r w:rsidR="00EE22A2">
        <w:t>cambiaría</w:t>
      </w:r>
      <w:r w:rsidR="00A146E5">
        <w:t xml:space="preserve"> es que la actividad se lleve en el patio, pero sin la </w:t>
      </w:r>
      <w:r w:rsidR="00EE22A2">
        <w:t>cuadricula,</w:t>
      </w:r>
      <w:r w:rsidR="00A146E5">
        <w:t xml:space="preserve"> mostrándoles un plano del lugar para que tengan una idea de </w:t>
      </w:r>
      <w:r w:rsidR="00EE22A2">
        <w:t>cómo</w:t>
      </w:r>
      <w:r w:rsidR="00A146E5">
        <w:t xml:space="preserve"> están ubicados los salones, baños, etc. La lon</w:t>
      </w:r>
      <w:r w:rsidR="00EE22A2">
        <w:t xml:space="preserve">gitud aunque está dentro del programa de estudios vigente, no </w:t>
      </w:r>
      <w:r w:rsidR="00A146E5">
        <w:t>es un aprendizaje</w:t>
      </w:r>
      <w:r w:rsidR="00EE22A2">
        <w:t xml:space="preserve"> esperado que se tiene</w:t>
      </w:r>
      <w:r w:rsidR="00A146E5">
        <w:t>; el único aprendizaje que se tiene de ubicación espacial se refiere a que</w:t>
      </w:r>
      <w:r w:rsidR="00EE22A2">
        <w:t xml:space="preserve"> logre u</w:t>
      </w:r>
      <w:r w:rsidR="00EE22A2">
        <w:t>bica</w:t>
      </w:r>
      <w:r w:rsidR="00EE22A2">
        <w:t>r</w:t>
      </w:r>
      <w:r w:rsidR="00EE22A2">
        <w:t xml:space="preserve"> objetos y lugares </w:t>
      </w:r>
      <w:r w:rsidR="00EE22A2">
        <w:t xml:space="preserve">cuya ubicación aún no </w:t>
      </w:r>
      <w:r w:rsidR="00EE22A2">
        <w:t>conoce, mediante la interpretación de relaciones espaciales y puntos de referencia</w:t>
      </w:r>
      <w:r w:rsidR="00A146E5">
        <w:t>.</w:t>
      </w:r>
      <w:r w:rsidR="00EE22A2">
        <w:t xml:space="preserve"> Esta actividad la haría dentro del salón (si es que hay piso con cuadros) para que tengan puntos de referencia y logren llegar al lugar.</w:t>
      </w:r>
      <w:r w:rsidR="00A146E5">
        <w:t xml:space="preserve"> </w:t>
      </w:r>
      <w:r w:rsidR="00EE22A2">
        <w:tab/>
      </w:r>
      <w:r w:rsidR="00EE22A2">
        <w:tab/>
        <w:t xml:space="preserve">    </w:t>
      </w:r>
      <w:bookmarkStart w:id="0" w:name="_GoBack"/>
      <w:bookmarkEnd w:id="0"/>
      <w:r w:rsidR="00A146E5">
        <w:t xml:space="preserve">El </w:t>
      </w:r>
      <w:r w:rsidR="00EE22A2">
        <w:t>hecho</w:t>
      </w:r>
      <w:r w:rsidR="00A146E5">
        <w:t xml:space="preserve"> de que </w:t>
      </w:r>
      <w:r>
        <w:t xml:space="preserve"> se haga por equipos el diseño de caminos</w:t>
      </w:r>
      <w:r w:rsidR="00A146E5">
        <w:t xml:space="preserve">, siento que </w:t>
      </w:r>
      <w:r w:rsidR="00EE22A2">
        <w:t>hace más lento el proceso de aprendizaje, esta dinámica la usaría hasta que ya hayan comprendido las relaciones espaciales e identifiquen los puntos de referencia.</w:t>
      </w:r>
    </w:p>
    <w:sectPr w:rsidR="004F12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CB"/>
    <w:rsid w:val="004F12B0"/>
    <w:rsid w:val="00A146E5"/>
    <w:rsid w:val="00A36BC1"/>
    <w:rsid w:val="00B176C2"/>
    <w:rsid w:val="00DC17CB"/>
    <w:rsid w:val="00E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ADCF1-C82C-424A-9059-1B28A81D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2020-03-03T22:42:00Z</dcterms:created>
  <dcterms:modified xsi:type="dcterms:W3CDTF">2020-03-03T23:50:00Z</dcterms:modified>
</cp:coreProperties>
</file>