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881E0C" w:rsidRDefault="00881E0C" w:rsidP="00881E0C">
      <w:pPr>
        <w:jc w:val="center"/>
        <w:rPr>
          <w:rFonts w:ascii="Arial" w:hAnsi="Arial" w:cs="Arial"/>
          <w:b/>
          <w:sz w:val="24"/>
          <w:lang w:val="es-ES_tradnl"/>
        </w:rPr>
      </w:pPr>
      <w:r w:rsidRPr="00881E0C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881E0C" w:rsidRPr="00881E0C" w:rsidRDefault="00881E0C" w:rsidP="00881E0C">
      <w:pPr>
        <w:jc w:val="center"/>
        <w:rPr>
          <w:rFonts w:ascii="Arial" w:hAnsi="Arial" w:cs="Arial"/>
          <w:sz w:val="24"/>
          <w:lang w:val="es-ES_tradnl"/>
        </w:rPr>
      </w:pPr>
      <w:r w:rsidRPr="00881E0C">
        <w:rPr>
          <w:rFonts w:ascii="Arial" w:hAnsi="Arial" w:cs="Arial"/>
          <w:sz w:val="24"/>
          <w:lang w:val="es-ES_tradnl"/>
        </w:rPr>
        <w:t>Licenciatura en educación preescolar</w:t>
      </w:r>
    </w:p>
    <w:p w:rsidR="00881E0C" w:rsidRPr="00881E0C" w:rsidRDefault="00881E0C" w:rsidP="00881E0C">
      <w:pPr>
        <w:jc w:val="center"/>
        <w:rPr>
          <w:rFonts w:ascii="Arial" w:hAnsi="Arial" w:cs="Arial"/>
          <w:b/>
          <w:sz w:val="24"/>
          <w:lang w:val="es-ES_tradnl"/>
        </w:rPr>
      </w:pPr>
      <w:r w:rsidRPr="00881E0C">
        <w:rPr>
          <w:rFonts w:ascii="Arial" w:hAnsi="Arial" w:cs="Arial"/>
          <w:b/>
          <w:sz w:val="24"/>
          <w:lang w:val="es-ES_tradnl"/>
        </w:rPr>
        <w:t>Ciclo escolar 2019 – 2020</w:t>
      </w:r>
    </w:p>
    <w:p w:rsidR="00881E0C" w:rsidRPr="00881E0C" w:rsidRDefault="00881E0C" w:rsidP="00881E0C">
      <w:pPr>
        <w:jc w:val="center"/>
        <w:rPr>
          <w:rFonts w:ascii="Arial" w:hAnsi="Arial" w:cs="Arial"/>
          <w:sz w:val="24"/>
          <w:lang w:val="es-ES_tradnl"/>
        </w:rPr>
      </w:pPr>
      <w:r w:rsidRPr="00881E0C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0E4F65F5" wp14:editId="170724B3">
            <wp:extent cx="1857375" cy="1381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0C" w:rsidRDefault="00881E0C" w:rsidP="00881E0C">
      <w:pPr>
        <w:jc w:val="center"/>
        <w:rPr>
          <w:rFonts w:ascii="Arial" w:hAnsi="Arial" w:cs="Arial"/>
          <w:sz w:val="24"/>
          <w:lang w:val="es-ES_tradnl"/>
        </w:rPr>
      </w:pPr>
      <w:r w:rsidRPr="00881E0C">
        <w:rPr>
          <w:rFonts w:ascii="Arial" w:hAnsi="Arial" w:cs="Arial"/>
          <w:sz w:val="24"/>
          <w:lang w:val="es-ES_tradnl"/>
        </w:rPr>
        <w:t>Estrategias para la exploración de mundo social</w:t>
      </w:r>
    </w:p>
    <w:p w:rsidR="00881E0C" w:rsidRPr="00881E0C" w:rsidRDefault="00881E0C" w:rsidP="00881E0C">
      <w:pPr>
        <w:jc w:val="center"/>
        <w:rPr>
          <w:rFonts w:ascii="Arial" w:hAnsi="Arial" w:cs="Arial"/>
          <w:b/>
          <w:sz w:val="24"/>
          <w:lang w:val="es-ES_tradnl"/>
        </w:rPr>
      </w:pPr>
      <w:r w:rsidRPr="00881E0C">
        <w:rPr>
          <w:rFonts w:ascii="Arial" w:hAnsi="Arial" w:cs="Arial"/>
          <w:b/>
          <w:sz w:val="24"/>
          <w:lang w:val="es-ES_tradnl"/>
        </w:rPr>
        <w:t>“Cuadro de doble entrada”</w:t>
      </w:r>
    </w:p>
    <w:p w:rsidR="00881E0C" w:rsidRPr="00881E0C" w:rsidRDefault="00881E0C" w:rsidP="00881E0C">
      <w:pPr>
        <w:jc w:val="center"/>
        <w:rPr>
          <w:rFonts w:ascii="Arial" w:hAnsi="Arial" w:cs="Arial"/>
          <w:sz w:val="24"/>
          <w:lang w:val="es-ES_tradnl"/>
        </w:rPr>
      </w:pPr>
      <w:r w:rsidRPr="00881E0C">
        <w:rPr>
          <w:rFonts w:ascii="Arial" w:hAnsi="Arial" w:cs="Arial"/>
          <w:sz w:val="24"/>
          <w:lang w:val="es-ES_tradnl"/>
        </w:rPr>
        <w:t>Mtro. Ramiro García Elías</w:t>
      </w:r>
    </w:p>
    <w:p w:rsidR="00881E0C" w:rsidRPr="00881E0C" w:rsidRDefault="00881E0C" w:rsidP="00881E0C">
      <w:pPr>
        <w:jc w:val="center"/>
        <w:rPr>
          <w:rFonts w:ascii="Arial" w:hAnsi="Arial" w:cs="Arial"/>
          <w:sz w:val="24"/>
          <w:lang w:val="es-ES_tradnl"/>
        </w:rPr>
      </w:pPr>
      <w:r w:rsidRPr="00881E0C">
        <w:rPr>
          <w:rFonts w:ascii="Arial" w:hAnsi="Arial" w:cs="Arial"/>
          <w:sz w:val="24"/>
          <w:lang w:val="es-ES_tradnl"/>
        </w:rPr>
        <w:t>Briseida Guadalupe Medrano Gallegos</w:t>
      </w:r>
    </w:p>
    <w:p w:rsidR="00881E0C" w:rsidRPr="00881E0C" w:rsidRDefault="00881E0C" w:rsidP="00881E0C">
      <w:pPr>
        <w:jc w:val="center"/>
        <w:rPr>
          <w:rFonts w:ascii="Arial" w:hAnsi="Arial" w:cs="Arial"/>
          <w:b/>
          <w:sz w:val="24"/>
          <w:lang w:val="es-ES_tradnl"/>
        </w:rPr>
      </w:pPr>
      <w:r w:rsidRPr="00881E0C">
        <w:rPr>
          <w:rFonts w:ascii="Arial" w:hAnsi="Arial" w:cs="Arial"/>
          <w:b/>
          <w:sz w:val="24"/>
          <w:lang w:val="es-ES_tradnl"/>
        </w:rPr>
        <w:t>Competencias de unidad</w:t>
      </w:r>
    </w:p>
    <w:p w:rsidR="00881E0C" w:rsidRPr="00881E0C" w:rsidRDefault="00881E0C" w:rsidP="00881E0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</w:rPr>
      </w:pPr>
      <w:r w:rsidRPr="00881E0C">
        <w:rPr>
          <w:rFonts w:ascii="Arial" w:hAnsi="Arial" w:cs="Arial"/>
          <w:color w:val="000000"/>
          <w:sz w:val="24"/>
        </w:rPr>
        <w:t>Detecta los procesos de aprendizaje de sus alumnos para favorecer su desarrollo cognitivo y socioemocional.</w:t>
      </w:r>
    </w:p>
    <w:p w:rsidR="00881E0C" w:rsidRPr="00881E0C" w:rsidRDefault="00881E0C" w:rsidP="00881E0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</w:rPr>
      </w:pPr>
      <w:r w:rsidRPr="00881E0C">
        <w:rPr>
          <w:rFonts w:ascii="Arial" w:hAnsi="Arial" w:cs="Arial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881E0C" w:rsidRPr="00881E0C" w:rsidRDefault="00881E0C" w:rsidP="00881E0C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/>
          <w:sz w:val="24"/>
        </w:rPr>
      </w:pPr>
      <w:r w:rsidRPr="00881E0C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81E0C" w:rsidRPr="00881E0C" w:rsidRDefault="00881E0C" w:rsidP="00881E0C">
      <w:pPr>
        <w:pStyle w:val="Prrafodelista"/>
        <w:numPr>
          <w:ilvl w:val="0"/>
          <w:numId w:val="1"/>
        </w:numPr>
        <w:rPr>
          <w:lang w:val="es-ES_tradnl"/>
        </w:rPr>
      </w:pPr>
      <w:r w:rsidRPr="00881E0C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</w:t>
      </w:r>
      <w:r w:rsidRPr="00881E0C">
        <w:rPr>
          <w:rFonts w:ascii="Verdana" w:hAnsi="Verdana"/>
          <w:color w:val="000000"/>
        </w:rPr>
        <w:t>.</w:t>
      </w: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Saltillo, Coahuila </w:t>
      </w: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23 de Abril del 2020</w:t>
      </w: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jc w:val="right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rPr>
          <w:rFonts w:ascii="Verdana" w:hAnsi="Verdana"/>
          <w:color w:val="000000"/>
        </w:rPr>
      </w:pPr>
    </w:p>
    <w:p w:rsidR="00881E0C" w:rsidRDefault="00881E0C" w:rsidP="00881E0C">
      <w:pPr>
        <w:pStyle w:val="Prrafodelista"/>
        <w:rPr>
          <w:rFonts w:ascii="Verdana" w:hAnsi="Verdana"/>
          <w:color w:val="000000"/>
        </w:rPr>
      </w:pPr>
    </w:p>
    <w:tbl>
      <w:tblPr>
        <w:tblStyle w:val="Cuadrculaclara-nfasis3"/>
        <w:tblW w:w="8966" w:type="dxa"/>
        <w:tblLook w:val="04A0" w:firstRow="1" w:lastRow="0" w:firstColumn="1" w:lastColumn="0" w:noHBand="0" w:noVBand="1"/>
      </w:tblPr>
      <w:tblGrid>
        <w:gridCol w:w="4483"/>
        <w:gridCol w:w="4483"/>
      </w:tblGrid>
      <w:tr w:rsidR="00881E0C" w:rsidTr="00817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881E0C" w:rsidRPr="00881E0C" w:rsidRDefault="00881E0C" w:rsidP="00881E0C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lang w:val="es-ES_tradnl"/>
              </w:rPr>
            </w:pPr>
            <w:r w:rsidRPr="00881E0C">
              <w:rPr>
                <w:rFonts w:ascii="Arial" w:hAnsi="Arial" w:cs="Arial"/>
                <w:sz w:val="28"/>
                <w:lang w:val="es-ES_tradnl"/>
              </w:rPr>
              <w:lastRenderedPageBreak/>
              <w:t>Actividades</w:t>
            </w:r>
          </w:p>
        </w:tc>
        <w:tc>
          <w:tcPr>
            <w:tcW w:w="4483" w:type="dxa"/>
          </w:tcPr>
          <w:p w:rsidR="00881E0C" w:rsidRPr="00881E0C" w:rsidRDefault="00881E0C" w:rsidP="00881E0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lang w:val="es-ES_tradnl"/>
              </w:rPr>
            </w:pPr>
            <w:r w:rsidRPr="00881E0C">
              <w:rPr>
                <w:rFonts w:ascii="Arial" w:hAnsi="Arial" w:cs="Arial"/>
                <w:sz w:val="28"/>
                <w:lang w:val="es-ES_tradnl"/>
              </w:rPr>
              <w:t>Argumentación</w:t>
            </w:r>
          </w:p>
        </w:tc>
      </w:tr>
      <w:tr w:rsidR="00881E0C" w:rsidTr="00817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F55523" w:rsidRPr="008175E9" w:rsidRDefault="00BD4051" w:rsidP="00881E0C">
            <w:pPr>
              <w:pStyle w:val="Prrafodelista"/>
              <w:numPr>
                <w:ilvl w:val="0"/>
                <w:numId w:val="2"/>
              </w:numPr>
              <w:rPr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 xml:space="preserve">Realizan una jardinera , aprendieron como se tiene que </w:t>
            </w:r>
            <w:r w:rsidR="00F55523">
              <w:rPr>
                <w:rFonts w:ascii="Arial" w:hAnsi="Arial" w:cs="Arial"/>
                <w:sz w:val="24"/>
                <w:lang w:val="es-ES_tradnl"/>
              </w:rPr>
              <w:t>mantener</w:t>
            </w:r>
            <w:r>
              <w:rPr>
                <w:rFonts w:ascii="Arial" w:hAnsi="Arial" w:cs="Arial"/>
                <w:sz w:val="24"/>
                <w:lang w:val="es-ES_tradnl"/>
              </w:rPr>
              <w:t xml:space="preserve"> bien una planta </w:t>
            </w:r>
          </w:p>
          <w:p w:rsidR="008175E9" w:rsidRDefault="008175E9" w:rsidP="008175E9">
            <w:pPr>
              <w:pStyle w:val="Prrafodelista"/>
              <w:rPr>
                <w:lang w:val="es-ES_tradnl"/>
              </w:rPr>
            </w:pPr>
          </w:p>
        </w:tc>
        <w:tc>
          <w:tcPr>
            <w:tcW w:w="4483" w:type="dxa"/>
          </w:tcPr>
          <w:p w:rsidR="00F55523" w:rsidRPr="008175E9" w:rsidRDefault="008175E9" w:rsidP="00817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75E9">
              <w:rPr>
                <w:rFonts w:ascii="Arial" w:hAnsi="Arial" w:cs="Arial"/>
                <w:sz w:val="24"/>
                <w:lang w:val="es-ES_tradnl"/>
              </w:rPr>
              <w:t>Bruner considera que los estudiantes deben aprender a través de un descubrimiento guiado que tiene lugar durante una exploración motivada por la curiosidad</w:t>
            </w:r>
            <w:sdt>
              <w:sdtPr>
                <w:rPr>
                  <w:rFonts w:ascii="Arial" w:hAnsi="Arial" w:cs="Arial"/>
                  <w:sz w:val="24"/>
                  <w:lang w:val="es-ES_tradnl"/>
                </w:rPr>
                <w:id w:val="-499503509"/>
                <w:citation/>
              </w:sdtPr>
              <w:sdtContent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instrText xml:space="preserve"> CITATION Bru87 \l 1034 </w:instrText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4"/>
                    <w:lang w:val="es-ES_tradnl"/>
                  </w:rPr>
                  <w:t xml:space="preserve"> </w:t>
                </w:r>
                <w:r w:rsidRPr="008175E9">
                  <w:rPr>
                    <w:rFonts w:ascii="Arial" w:hAnsi="Arial" w:cs="Arial"/>
                    <w:noProof/>
                    <w:sz w:val="24"/>
                    <w:lang w:val="es-ES_tradnl"/>
                  </w:rPr>
                  <w:t>(Bruner, 1987)</w:t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end"/>
                </w:r>
              </w:sdtContent>
            </w:sdt>
          </w:p>
        </w:tc>
      </w:tr>
      <w:tr w:rsidR="00F55523" w:rsidTr="00817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F55523" w:rsidRDefault="00F55523" w:rsidP="00881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>Realizan juegos de roles</w:t>
            </w:r>
          </w:p>
        </w:tc>
        <w:tc>
          <w:tcPr>
            <w:tcW w:w="4483" w:type="dxa"/>
          </w:tcPr>
          <w:p w:rsidR="00F55523" w:rsidRPr="004D7F9A" w:rsidRDefault="004D7F9A" w:rsidP="004D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>L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a utilidad de juego 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>temático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 de roles para el desarrollo 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>psicológico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 en 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>la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 edad preescolar, para lo cual se 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>utilizó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 la 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>metodología</w:t>
            </w:r>
            <w:r w:rsidRPr="004D7F9A">
              <w:rPr>
                <w:rFonts w:ascii="Arial" w:hAnsi="Arial" w:cs="Arial"/>
                <w:sz w:val="24"/>
                <w:lang w:val="es-ES_tradnl"/>
              </w:rPr>
              <w:t xml:space="preserve"> formativa</w:t>
            </w:r>
            <w:r>
              <w:rPr>
                <w:rFonts w:ascii="Arial" w:hAnsi="Arial" w:cs="Arial"/>
                <w:sz w:val="24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lang w:val="es-ES_tradnl"/>
                </w:rPr>
                <w:id w:val="520826127"/>
                <w:citation/>
              </w:sdtPr>
              <w:sdtContent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instrText xml:space="preserve"> CITATION Qui12 \l 1034 </w:instrText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separate"/>
                </w:r>
                <w:r w:rsidRPr="004D7F9A">
                  <w:rPr>
                    <w:rFonts w:ascii="Arial" w:hAnsi="Arial" w:cs="Arial"/>
                    <w:noProof/>
                    <w:sz w:val="24"/>
                    <w:lang w:val="es-ES_tradnl"/>
                  </w:rPr>
                  <w:t>(Quintana, 2012)</w:t>
                </w:r>
                <w:r>
                  <w:rPr>
                    <w:rFonts w:ascii="Arial" w:hAnsi="Arial" w:cs="Arial"/>
                    <w:sz w:val="24"/>
                    <w:lang w:val="es-ES_tradnl"/>
                  </w:rPr>
                  <w:fldChar w:fldCharType="end"/>
                </w:r>
              </w:sdtContent>
            </w:sdt>
          </w:p>
        </w:tc>
      </w:tr>
      <w:tr w:rsidR="00F55523" w:rsidTr="00817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F55523" w:rsidRDefault="00F55523" w:rsidP="00881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>Explicar sobre porque es hembra o macho una tortuga</w:t>
            </w:r>
          </w:p>
        </w:tc>
        <w:tc>
          <w:tcPr>
            <w:tcW w:w="4483" w:type="dxa"/>
          </w:tcPr>
          <w:p w:rsidR="00F55523" w:rsidRPr="00F55523" w:rsidRDefault="00CB2FCC" w:rsidP="00F55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 w:rsidRPr="00CB2FCC">
              <w:rPr>
                <w:rFonts w:ascii="Arial" w:hAnsi="Arial" w:cs="Arial"/>
                <w:sz w:val="24"/>
                <w:lang w:val="es-ES_tradnl"/>
              </w:rPr>
              <w:t>El niño nace con estos esquemas básicas que sirven para entrar en la relación con el medio</w:t>
            </w:r>
            <w:r w:rsidRPr="00CB2FCC">
              <w:rPr>
                <w:sz w:val="24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shd w:val="clear" w:color="auto" w:fill="FBFBFB"/>
                </w:rPr>
                <w:id w:val="-1873672475"/>
                <w:citation/>
              </w:sdtPr>
              <w:sdtContent>
                <w:r w:rsidR="00F55523" w:rsidRPr="00F55523">
                  <w:rPr>
                    <w:rFonts w:ascii="Arial" w:hAnsi="Arial" w:cs="Arial"/>
                    <w:sz w:val="24"/>
                    <w:szCs w:val="24"/>
                    <w:shd w:val="clear" w:color="auto" w:fill="FBFBFB"/>
                  </w:rPr>
                  <w:fldChar w:fldCharType="begin"/>
                </w:r>
                <w:r w:rsidR="00F55523" w:rsidRPr="00F55523">
                  <w:rPr>
                    <w:rFonts w:ascii="Arial" w:hAnsi="Arial" w:cs="Arial"/>
                    <w:sz w:val="24"/>
                    <w:szCs w:val="24"/>
                    <w:shd w:val="clear" w:color="auto" w:fill="FBFBFB"/>
                    <w:lang w:val="es-ES_tradnl"/>
                  </w:rPr>
                  <w:instrText xml:space="preserve"> CITATION Jea \l 1034 </w:instrText>
                </w:r>
                <w:r w:rsidR="00F55523" w:rsidRPr="00F55523">
                  <w:rPr>
                    <w:rFonts w:ascii="Arial" w:hAnsi="Arial" w:cs="Arial"/>
                    <w:sz w:val="24"/>
                    <w:szCs w:val="24"/>
                    <w:shd w:val="clear" w:color="auto" w:fill="FBFBFB"/>
                  </w:rPr>
                  <w:fldChar w:fldCharType="separate"/>
                </w:r>
                <w:r w:rsidR="00F55523" w:rsidRPr="00F55523">
                  <w:rPr>
                    <w:rFonts w:ascii="Arial" w:hAnsi="Arial" w:cs="Arial"/>
                    <w:noProof/>
                    <w:sz w:val="24"/>
                    <w:szCs w:val="24"/>
                    <w:shd w:val="clear" w:color="auto" w:fill="FBFBFB"/>
                    <w:lang w:val="es-ES_tradnl"/>
                  </w:rPr>
                  <w:t>(Piaget)</w:t>
                </w:r>
                <w:r w:rsidR="00F55523" w:rsidRPr="00F55523">
                  <w:rPr>
                    <w:rFonts w:ascii="Arial" w:hAnsi="Arial" w:cs="Arial"/>
                    <w:sz w:val="24"/>
                    <w:szCs w:val="24"/>
                    <w:shd w:val="clear" w:color="auto" w:fill="FBFBFB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AF7871" w:rsidTr="00817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AF7871" w:rsidRDefault="00AF7871" w:rsidP="00881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 xml:space="preserve">Juegos entre iguales </w:t>
            </w:r>
          </w:p>
        </w:tc>
        <w:tc>
          <w:tcPr>
            <w:tcW w:w="4483" w:type="dxa"/>
          </w:tcPr>
          <w:p w:rsidR="00AF7871" w:rsidRPr="00F55523" w:rsidRDefault="00D023D1" w:rsidP="00E061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interacción social permite a los niños revisar sus propios conceptos y superar las tendencias de egocentrismo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ES_tradnl"/>
                </w:rPr>
                <w:id w:val="-1054849325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  <w:lang w:val="es-ES_tradnl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_tradnl"/>
                  </w:rPr>
                  <w:instrText xml:space="preserve"> CITATION Jea \l 1034 </w:instrText>
                </w:r>
                <w:r>
                  <w:rPr>
                    <w:rFonts w:ascii="Arial" w:hAnsi="Arial" w:cs="Arial"/>
                    <w:sz w:val="24"/>
                    <w:szCs w:val="24"/>
                    <w:lang w:val="es-ES_tradnl"/>
                  </w:rPr>
                  <w:fldChar w:fldCharType="separate"/>
                </w:r>
                <w:r w:rsidRPr="00D023D1">
                  <w:rPr>
                    <w:rFonts w:ascii="Arial" w:hAnsi="Arial" w:cs="Arial"/>
                    <w:noProof/>
                    <w:sz w:val="24"/>
                    <w:szCs w:val="24"/>
                    <w:lang w:val="es-ES_tradnl"/>
                  </w:rPr>
                  <w:t>(Piaget)</w:t>
                </w:r>
                <w:r>
                  <w:rPr>
                    <w:rFonts w:ascii="Arial" w:hAnsi="Arial" w:cs="Arial"/>
                    <w:sz w:val="24"/>
                    <w:szCs w:val="24"/>
                    <w:lang w:val="es-ES_tradnl"/>
                  </w:rPr>
                  <w:fldChar w:fldCharType="end"/>
                </w:r>
              </w:sdtContent>
            </w:sdt>
          </w:p>
        </w:tc>
      </w:tr>
      <w:tr w:rsidR="00AF7871" w:rsidTr="00817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AF7871" w:rsidRDefault="00AF7871" w:rsidP="00881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 xml:space="preserve">Dibujar como es el universo para cada quien </w:t>
            </w:r>
          </w:p>
          <w:p w:rsidR="00AF7871" w:rsidRPr="00AF7871" w:rsidRDefault="00AF7871" w:rsidP="00AF7871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483" w:type="dxa"/>
          </w:tcPr>
          <w:p w:rsidR="00AF7871" w:rsidRDefault="00BE523F" w:rsidP="00F55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523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La importancia de estimular la imaginación reside en que si se educa y se dirige correctamente la</w:t>
            </w:r>
            <w:r w:rsidRPr="00BE523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tooltip=" Ideas para despertar la imaginación y el talento artístico infantil" w:history="1">
              <w:r w:rsidRPr="00BE523F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imaginación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2852213"/>
                <w:citation/>
              </w:sdtPr>
              <w:sdtContent>
                <w:r w:rsidR="006A6EF3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6A6EF3">
                  <w:rPr>
                    <w:rFonts w:ascii="Arial" w:hAnsi="Arial" w:cs="Arial"/>
                    <w:sz w:val="24"/>
                    <w:szCs w:val="24"/>
                    <w:lang w:val="es-ES_tradnl"/>
                  </w:rPr>
                  <w:instrText xml:space="preserve"> CITATION Jos14 \l 1034 </w:instrText>
                </w:r>
                <w:r w:rsidR="006A6E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6A6EF3" w:rsidRPr="006A6EF3">
                  <w:rPr>
                    <w:rFonts w:ascii="Arial" w:hAnsi="Arial" w:cs="Arial"/>
                    <w:noProof/>
                    <w:sz w:val="24"/>
                    <w:szCs w:val="24"/>
                    <w:lang w:val="es-ES_tradnl"/>
                  </w:rPr>
                  <w:t>(Ramírez, 2014)</w:t>
                </w:r>
                <w:r w:rsidR="006A6E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BE523F" w:rsidRDefault="00BE523F" w:rsidP="00F55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523F" w:rsidRPr="00BE523F" w:rsidRDefault="00BE523F" w:rsidP="00F55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</w:p>
        </w:tc>
      </w:tr>
      <w:tr w:rsidR="00AF7871" w:rsidTr="00817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</w:tcPr>
          <w:p w:rsidR="00AF7871" w:rsidRPr="00AF7871" w:rsidRDefault="00AF7871" w:rsidP="00AF787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 xml:space="preserve">Buscar una solución a un problema </w:t>
            </w:r>
          </w:p>
        </w:tc>
        <w:tc>
          <w:tcPr>
            <w:tcW w:w="4483" w:type="dxa"/>
          </w:tcPr>
          <w:p w:rsidR="00AF7871" w:rsidRPr="00D023D1" w:rsidRDefault="00BE523F" w:rsidP="00F55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una fuente de elaboración de conocimientos matemáticos; tiene sentido para los niños cuando se trata de situaciones que son comprensibles de ellos 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24"/>
                  <w:szCs w:val="20"/>
                  <w:shd w:val="clear" w:color="auto" w:fill="FFFFFF"/>
                </w:rPr>
                <w:id w:val="1305661734"/>
                <w:citation/>
              </w:sdtPr>
              <w:sdtContent>
                <w:r w:rsidR="00D023D1" w:rsidRPr="00BE523F">
                  <w:rPr>
                    <w:rStyle w:val="nfasis"/>
                    <w:rFonts w:ascii="Arial" w:hAnsi="Arial" w:cs="Arial"/>
                    <w:i w:val="0"/>
                    <w:sz w:val="24"/>
                    <w:szCs w:val="20"/>
                    <w:shd w:val="clear" w:color="auto" w:fill="FFFFFF"/>
                  </w:rPr>
                  <w:fldChar w:fldCharType="begin"/>
                </w:r>
                <w:r w:rsidR="00D023D1" w:rsidRPr="00BE523F">
                  <w:rPr>
                    <w:rStyle w:val="nfasis"/>
                    <w:rFonts w:ascii="Arial" w:hAnsi="Arial" w:cs="Arial"/>
                    <w:i w:val="0"/>
                    <w:sz w:val="24"/>
                    <w:szCs w:val="20"/>
                    <w:shd w:val="clear" w:color="auto" w:fill="FFFFFF"/>
                    <w:lang w:val="es-ES_tradnl"/>
                  </w:rPr>
                  <w:instrText xml:space="preserve"> CITATION SEP04 \l 1034 </w:instrText>
                </w:r>
                <w:r w:rsidR="00D023D1" w:rsidRPr="00BE523F">
                  <w:rPr>
                    <w:rStyle w:val="nfasis"/>
                    <w:rFonts w:ascii="Arial" w:hAnsi="Arial" w:cs="Arial"/>
                    <w:i w:val="0"/>
                    <w:sz w:val="24"/>
                    <w:szCs w:val="20"/>
                    <w:shd w:val="clear" w:color="auto" w:fill="FFFFFF"/>
                  </w:rPr>
                  <w:fldChar w:fldCharType="separate"/>
                </w:r>
                <w:r w:rsidR="00D023D1" w:rsidRPr="00BE523F">
                  <w:rPr>
                    <w:rFonts w:ascii="Arial" w:hAnsi="Arial" w:cs="Arial"/>
                    <w:noProof/>
                    <w:sz w:val="24"/>
                    <w:szCs w:val="20"/>
                    <w:shd w:val="clear" w:color="auto" w:fill="FFFFFF"/>
                    <w:lang w:val="es-ES_tradnl"/>
                  </w:rPr>
                  <w:t>(SEP, 2004)</w:t>
                </w:r>
                <w:r w:rsidR="00D023D1" w:rsidRPr="00BE523F">
                  <w:rPr>
                    <w:rStyle w:val="nfasis"/>
                    <w:rFonts w:ascii="Arial" w:hAnsi="Arial" w:cs="Arial"/>
                    <w:i w:val="0"/>
                    <w:sz w:val="24"/>
                    <w:szCs w:val="20"/>
                    <w:shd w:val="clear" w:color="auto" w:fill="FFFFFF"/>
                  </w:rPr>
                  <w:fldChar w:fldCharType="end"/>
                </w:r>
              </w:sdtContent>
            </w:sdt>
          </w:p>
        </w:tc>
      </w:tr>
    </w:tbl>
    <w:p w:rsidR="00881E0C" w:rsidRDefault="00881E0C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Default="006A6EF3" w:rsidP="00881E0C">
      <w:pPr>
        <w:pStyle w:val="Prrafodelista"/>
        <w:rPr>
          <w:lang w:val="es-ES_tradnl"/>
        </w:rPr>
      </w:pPr>
    </w:p>
    <w:p w:rsidR="006A6EF3" w:rsidRPr="006A6EF3" w:rsidRDefault="006A6EF3" w:rsidP="006A6EF3">
      <w:pPr>
        <w:rPr>
          <w:lang w:val="es-ES_tradnl"/>
        </w:rPr>
      </w:pPr>
      <w:bookmarkStart w:id="0" w:name="_GoBack"/>
      <w:bookmarkEnd w:id="0"/>
    </w:p>
    <w:sdt>
      <w:sdtPr>
        <w:id w:val="65635281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6A6EF3" w:rsidRDefault="006A6EF3">
          <w:pPr>
            <w:pStyle w:val="Ttulo1"/>
          </w:pPr>
          <w:r>
            <w:t>Trabajos citados</w:t>
          </w:r>
        </w:p>
        <w:p w:rsidR="006A6EF3" w:rsidRDefault="006A6EF3" w:rsidP="006A6EF3">
          <w:pPr>
            <w:pStyle w:val="Bibliografa"/>
            <w:ind w:left="720" w:hanging="720"/>
            <w:rPr>
              <w:noProof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</w:rPr>
            <w:t xml:space="preserve">Bruner. (1987). </w:t>
          </w:r>
          <w:r>
            <w:rPr>
              <w:i/>
              <w:iCs/>
              <w:noProof/>
            </w:rPr>
            <w:t>Teoria de aprendizaje .</w:t>
          </w:r>
        </w:p>
        <w:p w:rsidR="006A6EF3" w:rsidRDefault="006A6EF3" w:rsidP="006A6EF3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Piaget, J. (s.f.). </w:t>
          </w:r>
          <w:r>
            <w:rPr>
              <w:i/>
              <w:iCs/>
              <w:noProof/>
            </w:rPr>
            <w:t>Teoria de aprendizaje.</w:t>
          </w:r>
        </w:p>
        <w:p w:rsidR="006A6EF3" w:rsidRDefault="006A6EF3" w:rsidP="006A6EF3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Quintana. (2012). </w:t>
          </w:r>
          <w:r>
            <w:rPr>
              <w:i/>
              <w:iCs/>
              <w:noProof/>
            </w:rPr>
            <w:t>La actividad de juego en la edad preescolar.</w:t>
          </w:r>
        </w:p>
        <w:p w:rsidR="006A6EF3" w:rsidRDefault="006A6EF3" w:rsidP="006A6EF3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Ramírez, J. M. (2014). </w:t>
          </w:r>
          <w:r>
            <w:rPr>
              <w:i/>
              <w:iCs/>
              <w:noProof/>
            </w:rPr>
            <w:t>LA IMAGINACIÓN EN MENORES DE CONTEXTOS EDUCATIVOS.</w:t>
          </w:r>
        </w:p>
        <w:p w:rsidR="006A6EF3" w:rsidRDefault="006A6EF3" w:rsidP="006A6EF3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SEP. (2004). </w:t>
          </w:r>
          <w:r>
            <w:rPr>
              <w:i/>
              <w:iCs/>
              <w:noProof/>
            </w:rPr>
            <w:t>Programa de educacion preescolar.</w:t>
          </w:r>
          <w:r>
            <w:rPr>
              <w:noProof/>
            </w:rPr>
            <w:t xml:space="preserve"> Mexico.</w:t>
          </w:r>
        </w:p>
        <w:p w:rsidR="006A6EF3" w:rsidRDefault="006A6EF3" w:rsidP="006A6EF3">
          <w:r>
            <w:rPr>
              <w:b/>
              <w:bCs/>
            </w:rPr>
            <w:fldChar w:fldCharType="end"/>
          </w:r>
        </w:p>
      </w:sdtContent>
    </w:sdt>
    <w:p w:rsidR="006A6EF3" w:rsidRPr="00881E0C" w:rsidRDefault="006A6EF3" w:rsidP="00881E0C">
      <w:pPr>
        <w:pStyle w:val="Prrafodelista"/>
        <w:rPr>
          <w:lang w:val="es-ES_tradnl"/>
        </w:rPr>
      </w:pPr>
    </w:p>
    <w:sectPr w:rsidR="006A6EF3" w:rsidRPr="00881E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364D"/>
    <w:multiLevelType w:val="hybridMultilevel"/>
    <w:tmpl w:val="C2E66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26303"/>
    <w:multiLevelType w:val="hybridMultilevel"/>
    <w:tmpl w:val="6A7C9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4197D"/>
    <w:multiLevelType w:val="hybridMultilevel"/>
    <w:tmpl w:val="F03E1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C"/>
    <w:rsid w:val="003361FC"/>
    <w:rsid w:val="004D7F9A"/>
    <w:rsid w:val="006A44C8"/>
    <w:rsid w:val="006A6EF3"/>
    <w:rsid w:val="008175E9"/>
    <w:rsid w:val="00881E0C"/>
    <w:rsid w:val="00AF7871"/>
    <w:rsid w:val="00BD4051"/>
    <w:rsid w:val="00BE523F"/>
    <w:rsid w:val="00CB2FCC"/>
    <w:rsid w:val="00D023D1"/>
    <w:rsid w:val="00D7450C"/>
    <w:rsid w:val="00E0610C"/>
    <w:rsid w:val="00ED194B"/>
    <w:rsid w:val="00F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6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81E0C"/>
  </w:style>
  <w:style w:type="paragraph" w:styleId="Prrafodelista">
    <w:name w:val="List Paragraph"/>
    <w:basedOn w:val="Normal"/>
    <w:uiPriority w:val="34"/>
    <w:qFormat/>
    <w:rsid w:val="00881E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023D1"/>
    <w:rPr>
      <w:i/>
      <w:iCs/>
    </w:rPr>
  </w:style>
  <w:style w:type="table" w:styleId="Cuadrculaclara-nfasis3">
    <w:name w:val="Light Grid Accent 3"/>
    <w:basedOn w:val="Tablanormal"/>
    <w:uiPriority w:val="62"/>
    <w:rsid w:val="00817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BE52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6A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6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81E0C"/>
  </w:style>
  <w:style w:type="paragraph" w:styleId="Prrafodelista">
    <w:name w:val="List Paragraph"/>
    <w:basedOn w:val="Normal"/>
    <w:uiPriority w:val="34"/>
    <w:qFormat/>
    <w:rsid w:val="00881E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023D1"/>
    <w:rPr>
      <w:i/>
      <w:iCs/>
    </w:rPr>
  </w:style>
  <w:style w:type="table" w:styleId="Cuadrculaclara-nfasis3">
    <w:name w:val="Light Grid Accent 3"/>
    <w:basedOn w:val="Tablanormal"/>
    <w:uiPriority w:val="62"/>
    <w:rsid w:val="00817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BE52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6A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erfamilia.com/educacion/noticia-ideas-despertar-imaginacion-talento-artistico-infantil-2015102710090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Jea</b:Tag>
    <b:SourceType>Book</b:SourceType>
    <b:Guid>{D6B5881B-242A-4D98-9A6F-3265963F012F}</b:Guid>
    <b:Author>
      <b:Author>
        <b:NameList>
          <b:Person>
            <b:Last>Piaget</b:Last>
            <b:First>Jean</b:First>
          </b:Person>
        </b:NameList>
      </b:Author>
    </b:Author>
    <b:Title>Teoria de aprendizaje</b:Title>
    <b:RefOrder>3</b:RefOrder>
  </b:Source>
  <b:Source>
    <b:Tag>SEP04</b:Tag>
    <b:SourceType>Book</b:SourceType>
    <b:Guid>{81CBBAF2-D778-430B-AABF-961B613E91A5}</b:Guid>
    <b:Title>Programa de educacion preescolar</b:Title>
    <b:Year>2004</b:Year>
    <b:City>Mexico</b:City>
    <b:Author>
      <b:Author>
        <b:NameList>
          <b:Person>
            <b:Last>SEP</b:Last>
          </b:Person>
        </b:NameList>
      </b:Author>
    </b:Author>
    <b:RefOrder>5</b:RefOrder>
  </b:Source>
  <b:Source>
    <b:Tag>Bru87</b:Tag>
    <b:SourceType>Book</b:SourceType>
    <b:Guid>{EA7AD7D0-B7FA-412D-B7D0-AD1F7F02D4A1}</b:Guid>
    <b:Author>
      <b:Author>
        <b:NameList>
          <b:Person>
            <b:Last>Bruner</b:Last>
          </b:Person>
        </b:NameList>
      </b:Author>
    </b:Author>
    <b:Title>Teoria de aprendizaje </b:Title>
    <b:Year>1987</b:Year>
    <b:RefOrder>1</b:RefOrder>
  </b:Source>
  <b:Source>
    <b:Tag>Qui12</b:Tag>
    <b:SourceType>Book</b:SourceType>
    <b:Guid>{9DA0B741-CB39-4190-A7DB-D446B6FECB46}</b:Guid>
    <b:Author>
      <b:Author>
        <b:NameList>
          <b:Person>
            <b:Last>Quintana</b:Last>
          </b:Person>
        </b:NameList>
      </b:Author>
    </b:Author>
    <b:Title>La actividad de juego en la edad preescolar</b:Title>
    <b:Year>2012</b:Year>
    <b:RefOrder>2</b:RefOrder>
  </b:Source>
  <b:Source>
    <b:Tag>Jos14</b:Tag>
    <b:SourceType>Book</b:SourceType>
    <b:Guid>{639A2E63-E10E-44C2-9845-3FD786F8D33E}</b:Guid>
    <b:Author>
      <b:Author>
        <b:NameList>
          <b:Person>
            <b:Last>Ramírez</b:Last>
            <b:First>José</b:First>
            <b:Middle>Miguel García</b:Middle>
          </b:Person>
        </b:NameList>
      </b:Author>
    </b:Author>
    <b:Title>LA IMAGINACIÓN EN MENORES DE CONTEXTOS EDUCATIVOS</b:Title>
    <b:Year>2014</b:Year>
    <b:RefOrder>4</b:RefOrder>
  </b:Source>
</b:Sources>
</file>

<file path=customXml/itemProps1.xml><?xml version="1.0" encoding="utf-8"?>
<ds:datastoreItem xmlns:ds="http://schemas.openxmlformats.org/officeDocument/2006/customXml" ds:itemID="{AFDBD38C-28C6-441C-81A4-C230AECB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2020-04-23T20:41:00Z</dcterms:created>
  <dcterms:modified xsi:type="dcterms:W3CDTF">2020-04-24T02:19:00Z</dcterms:modified>
</cp:coreProperties>
</file>