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46" w:rsidRPr="00900F24" w:rsidRDefault="00037346" w:rsidP="0003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0F24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ESCUELA NORMAL DE EDUCACIÓN PREESCOLAR</w:t>
      </w:r>
    </w:p>
    <w:p w:rsidR="00037346" w:rsidRPr="00900F24" w:rsidRDefault="00037346" w:rsidP="0003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0F24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Licenciatura en Educación Preescolar</w:t>
      </w:r>
    </w:p>
    <w:p w:rsidR="00037346" w:rsidRDefault="00037346" w:rsidP="000373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F24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Ciclo Escolar 2019-2020</w:t>
      </w:r>
      <w:r w:rsidRPr="00900F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037346" w:rsidRPr="00900F24" w:rsidRDefault="00037346" w:rsidP="0003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37346" w:rsidRDefault="00037346" w:rsidP="00037346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F24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7BDA7A62" wp14:editId="079602A2">
            <wp:extent cx="1857375" cy="1381125"/>
            <wp:effectExtent l="0" t="0" r="0" b="9525"/>
            <wp:docPr id="2" name="Imagen 2" descr="https://lh3.googleusercontent.com/uFBDt-K4kQrBFOHer7czNLopJjG6cYUpmuBDKk5KmnYBsBOP7NoUWr7mgSss38NoSILE99jDFdcB-TBo6_MAVl8vWQJiVrHYLQ1c2xmDgBagcACNAHewgrVH5u4XZsW3g_KojH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FBDt-K4kQrBFOHer7czNLopJjG6cYUpmuBDKk5KmnYBsBOP7NoUWr7mgSss38NoSILE99jDFdcB-TBo6_MAVl8vWQJiVrHYLQ1c2xmDgBagcACNAHewgrVH5u4XZsW3g_KojH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F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037346" w:rsidRPr="00900F24" w:rsidRDefault="00037346" w:rsidP="000373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37346" w:rsidRPr="0030562E" w:rsidRDefault="00037346" w:rsidP="00037346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color w:val="000000"/>
          <w:sz w:val="26"/>
          <w:szCs w:val="26"/>
        </w:rPr>
      </w:pPr>
      <w:r w:rsidRPr="00900F24">
        <w:rPr>
          <w:rFonts w:ascii="Arial" w:hAnsi="Arial" w:cs="Arial"/>
          <w:color w:val="000000"/>
          <w:sz w:val="32"/>
          <w:szCs w:val="32"/>
        </w:rPr>
        <w:t xml:space="preserve">Materia: </w:t>
      </w:r>
      <w:r w:rsidRPr="0030562E">
        <w:rPr>
          <w:rFonts w:ascii="Arial" w:hAnsi="Arial" w:cs="Arial"/>
          <w:color w:val="000000"/>
          <w:sz w:val="26"/>
          <w:szCs w:val="26"/>
        </w:rPr>
        <w:t>TALLER DE TÉCNICAS Y ESTRATEGIAS DE EXPRESIÓN CORPORAL Y DANZA EN PREESCOLAR</w:t>
      </w:r>
    </w:p>
    <w:p w:rsidR="00037346" w:rsidRPr="00900F24" w:rsidRDefault="00037346" w:rsidP="000373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37346" w:rsidRPr="00900F24" w:rsidRDefault="00037346" w:rsidP="000373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Maestro: </w:t>
      </w:r>
      <w:r w:rsidRPr="0030562E"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  <w:t>Manuel Federico Rodríguez Aguilar</w:t>
      </w:r>
    </w:p>
    <w:p w:rsidR="00037346" w:rsidRPr="0030562E" w:rsidRDefault="00037346" w:rsidP="00037346">
      <w:pPr>
        <w:pStyle w:val="Ttulo2"/>
        <w:spacing w:before="75" w:after="75"/>
        <w:jc w:val="center"/>
        <w:rPr>
          <w:rFonts w:ascii="Arial" w:hAnsi="Arial" w:cs="Arial"/>
          <w:b/>
          <w:i/>
          <w:iCs/>
          <w:color w:val="000000"/>
          <w:sz w:val="32"/>
          <w:szCs w:val="32"/>
        </w:rPr>
      </w:pPr>
      <w:r w:rsidRPr="0030562E">
        <w:rPr>
          <w:rFonts w:ascii="Arial" w:hAnsi="Arial" w:cs="Arial"/>
          <w:b/>
          <w:i/>
          <w:iCs/>
          <w:color w:val="000000"/>
          <w:sz w:val="32"/>
          <w:szCs w:val="32"/>
        </w:rPr>
        <w:t>“</w:t>
      </w:r>
      <w:proofErr w:type="spellStart"/>
      <w:r w:rsidRPr="0030562E">
        <w:rPr>
          <w:rFonts w:ascii="Arial" w:hAnsi="Arial" w:cs="Arial"/>
          <w:b/>
          <w:i/>
          <w:iCs/>
          <w:color w:val="000000"/>
          <w:sz w:val="32"/>
          <w:szCs w:val="32"/>
        </w:rPr>
        <w:t>Xcaret</w:t>
      </w:r>
      <w:proofErr w:type="spellEnd"/>
      <w:r w:rsidRPr="0030562E">
        <w:rPr>
          <w:rFonts w:ascii="Arial" w:hAnsi="Arial" w:cs="Arial"/>
          <w:b/>
          <w:i/>
          <w:iCs/>
          <w:color w:val="000000"/>
          <w:sz w:val="32"/>
          <w:szCs w:val="32"/>
        </w:rPr>
        <w:t xml:space="preserve"> Espectacular Show”</w:t>
      </w:r>
      <w:r w:rsidRPr="00900F24"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 </w:t>
      </w:r>
    </w:p>
    <w:p w:rsidR="00037346" w:rsidRPr="00900F24" w:rsidRDefault="00037346" w:rsidP="000373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0F24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Cuarto Semestre</w:t>
      </w:r>
    </w:p>
    <w:p w:rsidR="00037346" w:rsidRPr="00900F24" w:rsidRDefault="00037346" w:rsidP="000373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0F24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Sección “B”</w:t>
      </w:r>
    </w:p>
    <w:p w:rsidR="00037346" w:rsidRPr="00900F24" w:rsidRDefault="00037346" w:rsidP="000373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0F2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037346" w:rsidRDefault="00037346" w:rsidP="00037346">
      <w:pPr>
        <w:spacing w:after="0" w:line="240" w:lineRule="auto"/>
        <w:ind w:hanging="36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Alumna:</w:t>
      </w:r>
    </w:p>
    <w:p w:rsidR="00037346" w:rsidRPr="0030562E" w:rsidRDefault="00037346" w:rsidP="0003734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0562E"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  <w:t>Daiva Ramírez Treviño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  <w:t xml:space="preserve"> #13</w:t>
      </w:r>
    </w:p>
    <w:p w:rsidR="00037346" w:rsidRPr="00900F24" w:rsidRDefault="00037346" w:rsidP="0003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37346" w:rsidRPr="00900F24" w:rsidRDefault="00037346" w:rsidP="00037346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0F24">
        <w:rPr>
          <w:rFonts w:ascii="Arial" w:eastAsia="Times New Roman" w:hAnsi="Arial" w:cs="Arial"/>
          <w:color w:val="000000"/>
          <w:lang w:eastAsia="es-MX"/>
        </w:rPr>
        <w:t> </w:t>
      </w:r>
    </w:p>
    <w:p w:rsidR="00037346" w:rsidRDefault="00037346" w:rsidP="00037346">
      <w:pPr>
        <w:spacing w:before="240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Mayo</w:t>
      </w:r>
      <w:r w:rsidRPr="00900F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2020</w:t>
      </w:r>
    </w:p>
    <w:p w:rsidR="00037346" w:rsidRDefault="00037346" w:rsidP="00DF1BC1">
      <w:pPr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40"/>
          <w:szCs w:val="40"/>
          <w:lang w:eastAsia="es-MX"/>
        </w:rPr>
      </w:pPr>
    </w:p>
    <w:p w:rsidR="00037346" w:rsidRDefault="00037346" w:rsidP="00DF1BC1">
      <w:pPr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40"/>
          <w:szCs w:val="40"/>
          <w:lang w:eastAsia="es-MX"/>
        </w:rPr>
      </w:pPr>
    </w:p>
    <w:p w:rsidR="00037346" w:rsidRDefault="00037346" w:rsidP="00DF1BC1">
      <w:pPr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40"/>
          <w:szCs w:val="40"/>
          <w:lang w:eastAsia="es-MX"/>
        </w:rPr>
      </w:pPr>
    </w:p>
    <w:p w:rsidR="00DF1BC1" w:rsidRPr="00DF1BC1" w:rsidRDefault="00037346" w:rsidP="00DF1BC1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</w:pPr>
      <w:r w:rsidRPr="00900F24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691712" cy="514350"/>
            <wp:effectExtent l="0" t="0" r="0" b="0"/>
            <wp:wrapThrough wrapText="bothSides">
              <wp:wrapPolygon edited="0">
                <wp:start x="3570" y="0"/>
                <wp:lineTo x="3570" y="16000"/>
                <wp:lineTo x="6545" y="20800"/>
                <wp:lineTo x="8331" y="20800"/>
                <wp:lineTo x="13686" y="20800"/>
                <wp:lineTo x="15471" y="20800"/>
                <wp:lineTo x="18446" y="15200"/>
                <wp:lineTo x="17851" y="0"/>
                <wp:lineTo x="3570" y="0"/>
              </wp:wrapPolygon>
            </wp:wrapThrough>
            <wp:docPr id="1" name="Imagen 1" descr="https://lh3.googleusercontent.com/uFBDt-K4kQrBFOHer7czNLopJjG6cYUpmuBDKk5KmnYBsBOP7NoUWr7mgSss38NoSILE99jDFdcB-TBo6_MAVl8vWQJiVrHYLQ1c2xmDgBagcACNAHewgrVH5u4XZsW3g_KojH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FBDt-K4kQrBFOHer7czNLopJjG6cYUpmuBDKk5KmnYBsBOP7NoUWr7mgSss38NoSILE99jDFdcB-TBo6_MAVl8vWQJiVrHYLQ1c2xmDgBagcACNAHewgrVH5u4XZsW3g_KojHD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12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C1" w:rsidRPr="00DF1BC1">
        <w:rPr>
          <w:rFonts w:ascii="Cambria" w:eastAsia="Times New Roman" w:hAnsi="Cambria" w:cs="Times New Roman"/>
          <w:i/>
          <w:iCs/>
          <w:color w:val="000000"/>
          <w:sz w:val="40"/>
          <w:szCs w:val="40"/>
          <w:lang w:eastAsia="es-MX"/>
        </w:rPr>
        <w:t>Escuela Normal de Educación Preescolar del Estado</w:t>
      </w:r>
    </w:p>
    <w:p w:rsidR="00DF1BC1" w:rsidRPr="00DF1BC1" w:rsidRDefault="00DF1BC1" w:rsidP="00DF1BC1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</w:pPr>
      <w:r w:rsidRPr="00DF1BC1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s-MX"/>
        </w:rPr>
        <w:t>Taller de Técnicas y Estrategias de Expresión Corporal y danza en Preescolar</w:t>
      </w:r>
    </w:p>
    <w:p w:rsidR="00DF1BC1" w:rsidRPr="00DF1BC1" w:rsidRDefault="00DF1BC1" w:rsidP="00DF1BC1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</w:pPr>
      <w:r w:rsidRPr="00DF1BC1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s-MX"/>
        </w:rPr>
        <w:t>Actividad 3</w:t>
      </w:r>
      <w:bookmarkStart w:id="0" w:name="_GoBack"/>
      <w:bookmarkEnd w:id="0"/>
    </w:p>
    <w:p w:rsidR="00DF1BC1" w:rsidRPr="00DF1BC1" w:rsidRDefault="00DF1BC1" w:rsidP="00037346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4"/>
          <w:lang w:eastAsia="es-MX"/>
        </w:rPr>
      </w:pPr>
    </w:p>
    <w:p w:rsidR="00DF1BC1" w:rsidRPr="00DF1BC1" w:rsidRDefault="00DF1BC1" w:rsidP="00037346">
      <w:pPr>
        <w:spacing w:after="0" w:line="480" w:lineRule="auto"/>
        <w:ind w:left="720" w:hanging="360"/>
        <w:jc w:val="center"/>
        <w:rPr>
          <w:rFonts w:ascii="Arial" w:eastAsia="Times New Roman" w:hAnsi="Arial" w:cs="Arial"/>
          <w:b/>
          <w:color w:val="002060"/>
          <w:sz w:val="28"/>
          <w:szCs w:val="24"/>
          <w:u w:val="single" w:color="FF0000"/>
          <w:lang w:eastAsia="es-MX"/>
        </w:rPr>
      </w:pPr>
      <w:r w:rsidRPr="0033230D">
        <w:rPr>
          <w:rFonts w:ascii="Arial" w:eastAsia="Times New Roman" w:hAnsi="Arial" w:cs="Arial"/>
          <w:b/>
          <w:iCs/>
          <w:color w:val="002060"/>
          <w:sz w:val="28"/>
          <w:szCs w:val="24"/>
          <w:u w:val="single" w:color="FF0000"/>
          <w:lang w:eastAsia="es-MX"/>
        </w:rPr>
        <w:t>Análisis comparativo</w:t>
      </w:r>
    </w:p>
    <w:p w:rsidR="00D3381E" w:rsidRDefault="00DF1BC1" w:rsidP="00D3381E">
      <w:pPr>
        <w:spacing w:line="480" w:lineRule="auto"/>
        <w:rPr>
          <w:rFonts w:ascii="Arial" w:hAnsi="Arial" w:cs="Arial"/>
          <w:sz w:val="24"/>
          <w:szCs w:val="24"/>
        </w:rPr>
      </w:pPr>
      <w:r w:rsidRPr="00DF1BC1">
        <w:rPr>
          <w:rFonts w:ascii="Arial" w:hAnsi="Arial" w:cs="Arial"/>
          <w:sz w:val="24"/>
          <w:szCs w:val="24"/>
        </w:rPr>
        <w:t xml:space="preserve">Una de las características que comparten los dos </w:t>
      </w:r>
      <w:r w:rsidR="00D3381E">
        <w:rPr>
          <w:rFonts w:ascii="Arial" w:hAnsi="Arial" w:cs="Arial"/>
          <w:sz w:val="24"/>
          <w:szCs w:val="24"/>
        </w:rPr>
        <w:t>espectáculos</w:t>
      </w:r>
      <w:r w:rsidRPr="00DF1B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más significativos en México </w:t>
      </w:r>
      <w:r w:rsidRPr="00DF1BC1">
        <w:rPr>
          <w:rFonts w:ascii="Arial" w:hAnsi="Arial" w:cs="Arial"/>
          <w:sz w:val="24"/>
          <w:szCs w:val="24"/>
        </w:rPr>
        <w:t>(l</w:t>
      </w:r>
      <w:r w:rsidRPr="00DF1BC1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DF1BC1">
        <w:rPr>
          <w:rFonts w:ascii="Arial" w:hAnsi="Arial" w:cs="Arial"/>
          <w:sz w:val="24"/>
          <w:szCs w:val="24"/>
        </w:rPr>
        <w:t>Guelaguetza</w:t>
      </w:r>
      <w:proofErr w:type="spellEnd"/>
      <w:r w:rsidRPr="00DF1BC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F1BC1">
        <w:rPr>
          <w:rFonts w:ascii="Arial" w:hAnsi="Arial" w:cs="Arial"/>
          <w:sz w:val="24"/>
          <w:szCs w:val="24"/>
        </w:rPr>
        <w:t>Xcaret</w:t>
      </w:r>
      <w:proofErr w:type="spellEnd"/>
      <w:r w:rsidRPr="00DF1BC1">
        <w:rPr>
          <w:rFonts w:ascii="Arial" w:hAnsi="Arial" w:cs="Arial"/>
          <w:sz w:val="24"/>
          <w:szCs w:val="24"/>
        </w:rPr>
        <w:t>) es que</w:t>
      </w:r>
      <w:r w:rsidRPr="00DF1BC1">
        <w:rPr>
          <w:rFonts w:ascii="Arial" w:hAnsi="Arial" w:cs="Arial"/>
          <w:sz w:val="24"/>
          <w:szCs w:val="24"/>
        </w:rPr>
        <w:t xml:space="preserve"> </w:t>
      </w:r>
      <w:r w:rsidRPr="00DF1BC1">
        <w:rPr>
          <w:rFonts w:ascii="Arial" w:hAnsi="Arial" w:cs="Arial"/>
          <w:sz w:val="24"/>
          <w:szCs w:val="24"/>
        </w:rPr>
        <w:t xml:space="preserve">demuestran mediante la danza la belleza </w:t>
      </w:r>
      <w:r w:rsidR="00037346">
        <w:rPr>
          <w:rFonts w:ascii="Arial" w:hAnsi="Arial" w:cs="Arial"/>
          <w:sz w:val="24"/>
          <w:szCs w:val="24"/>
        </w:rPr>
        <w:t xml:space="preserve">y diversidad </w:t>
      </w:r>
      <w:r w:rsidRPr="00DF1BC1">
        <w:rPr>
          <w:rFonts w:ascii="Arial" w:hAnsi="Arial" w:cs="Arial"/>
          <w:sz w:val="24"/>
          <w:szCs w:val="24"/>
        </w:rPr>
        <w:t xml:space="preserve">de </w:t>
      </w:r>
      <w:r w:rsidR="00037346" w:rsidRPr="00DF1BC1">
        <w:rPr>
          <w:rFonts w:ascii="Arial" w:hAnsi="Arial" w:cs="Arial"/>
          <w:sz w:val="24"/>
          <w:szCs w:val="24"/>
        </w:rPr>
        <w:t>México</w:t>
      </w:r>
      <w:r w:rsidR="00037346">
        <w:rPr>
          <w:rFonts w:ascii="Arial" w:hAnsi="Arial" w:cs="Arial"/>
          <w:sz w:val="24"/>
          <w:szCs w:val="24"/>
        </w:rPr>
        <w:t>, particularmente con la</w:t>
      </w:r>
      <w:r w:rsidR="00037346" w:rsidRPr="00037346">
        <w:t xml:space="preserve"> </w:t>
      </w:r>
      <w:r w:rsidR="00037346" w:rsidRPr="00037346">
        <w:rPr>
          <w:rFonts w:ascii="Arial" w:hAnsi="Arial" w:cs="Arial"/>
          <w:sz w:val="24"/>
          <w:szCs w:val="24"/>
        </w:rPr>
        <w:t>danza folklorica</w:t>
      </w:r>
      <w:r w:rsidR="00037346">
        <w:rPr>
          <w:rFonts w:ascii="Arial" w:hAnsi="Arial" w:cs="Arial"/>
          <w:sz w:val="24"/>
          <w:szCs w:val="24"/>
        </w:rPr>
        <w:t>. Representan con bailables folclóricos diversas regiones de México</w:t>
      </w:r>
      <w:r w:rsidR="00D3381E">
        <w:rPr>
          <w:rFonts w:ascii="Arial" w:hAnsi="Arial" w:cs="Arial"/>
          <w:sz w:val="24"/>
          <w:szCs w:val="24"/>
        </w:rPr>
        <w:t>;</w:t>
      </w:r>
      <w:r w:rsidR="00037346">
        <w:rPr>
          <w:rFonts w:ascii="Arial" w:hAnsi="Arial" w:cs="Arial"/>
          <w:sz w:val="24"/>
          <w:szCs w:val="24"/>
        </w:rPr>
        <w:t xml:space="preserve"> esto mediante vestuarios llamativos, coloridos y </w:t>
      </w:r>
      <w:r w:rsidR="00D3381E">
        <w:rPr>
          <w:rFonts w:ascii="Arial" w:hAnsi="Arial" w:cs="Arial"/>
          <w:sz w:val="24"/>
          <w:szCs w:val="24"/>
        </w:rPr>
        <w:t>característicos de las regiones. Dichos bailes acompañados al son de la música tradicional de la región. Ambos espectáculos</w:t>
      </w:r>
      <w:r w:rsidRPr="00DF1BC1">
        <w:rPr>
          <w:rFonts w:ascii="Arial" w:hAnsi="Arial" w:cs="Arial"/>
          <w:sz w:val="24"/>
          <w:szCs w:val="24"/>
        </w:rPr>
        <w:t xml:space="preserve"> reúnen</w:t>
      </w:r>
      <w:r w:rsidR="00037346">
        <w:rPr>
          <w:rFonts w:ascii="Arial" w:hAnsi="Arial" w:cs="Arial"/>
          <w:sz w:val="24"/>
          <w:szCs w:val="24"/>
        </w:rPr>
        <w:t xml:space="preserve"> </w:t>
      </w:r>
      <w:r w:rsidRPr="00DF1BC1">
        <w:rPr>
          <w:rFonts w:ascii="Arial" w:hAnsi="Arial" w:cs="Arial"/>
          <w:sz w:val="24"/>
          <w:szCs w:val="24"/>
        </w:rPr>
        <w:t>a un gran número de asistentes de nacionalidad mexicana al igual que extranjera.</w:t>
      </w:r>
      <w:r w:rsidR="00D3381E">
        <w:rPr>
          <w:rFonts w:ascii="Arial" w:hAnsi="Arial" w:cs="Arial"/>
          <w:sz w:val="24"/>
          <w:szCs w:val="24"/>
        </w:rPr>
        <w:t xml:space="preserve"> </w:t>
      </w:r>
    </w:p>
    <w:p w:rsidR="00D3381E" w:rsidRDefault="00D3381E" w:rsidP="00D3381E">
      <w:p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del espectáculo de </w:t>
      </w:r>
      <w:proofErr w:type="spellStart"/>
      <w:r>
        <w:rPr>
          <w:rFonts w:ascii="Arial" w:hAnsi="Arial" w:cs="Arial"/>
          <w:sz w:val="24"/>
          <w:szCs w:val="24"/>
        </w:rPr>
        <w:t>Xcaret</w:t>
      </w:r>
      <w:proofErr w:type="spellEnd"/>
      <w:r>
        <w:rPr>
          <w:rFonts w:ascii="Arial" w:hAnsi="Arial" w:cs="Arial"/>
          <w:sz w:val="24"/>
          <w:szCs w:val="24"/>
        </w:rPr>
        <w:t xml:space="preserve"> trasladan al público </w:t>
      </w:r>
      <w:r w:rsidRPr="003E64A5">
        <w:rPr>
          <w:rFonts w:ascii="Arial" w:hAnsi="Arial" w:cs="Arial"/>
          <w:sz w:val="24"/>
          <w:szCs w:val="24"/>
        </w:rPr>
        <w:t xml:space="preserve">a través de la historia de México, empezando con la época prehispánica hasta el México </w:t>
      </w:r>
      <w:r>
        <w:rPr>
          <w:rFonts w:ascii="Arial" w:hAnsi="Arial" w:cs="Arial"/>
          <w:sz w:val="24"/>
          <w:szCs w:val="24"/>
        </w:rPr>
        <w:t>actual</w:t>
      </w:r>
      <w:r w:rsidRPr="003E64A5">
        <w:rPr>
          <w:rFonts w:ascii="Arial" w:hAnsi="Arial" w:cs="Arial"/>
          <w:sz w:val="24"/>
          <w:szCs w:val="24"/>
        </w:rPr>
        <w:t>. El espectáculo se divide en dos partes, en la primera se representa cómo era la vida y leyendas de unas de las culturas que vivieron en el México prehispánico. Representan el Juego de Pelota Maya y el Encuentro de los Mundos, en donde se simboliza el mestizaje e inicio del México moderno a través de una canción.</w:t>
      </w:r>
      <w:r>
        <w:rPr>
          <w:rFonts w:ascii="Arial" w:hAnsi="Arial" w:cs="Arial"/>
          <w:sz w:val="24"/>
          <w:szCs w:val="24"/>
        </w:rPr>
        <w:t xml:space="preserve"> </w:t>
      </w:r>
      <w:r w:rsidRPr="00D3381E">
        <w:rPr>
          <w:rFonts w:ascii="Arial" w:hAnsi="Arial" w:cs="Arial"/>
          <w:sz w:val="24"/>
          <w:szCs w:val="24"/>
        </w:rPr>
        <w:t xml:space="preserve">La segunda parte se conforma por bailes típicos, de las diferentes regiones culturales de México. </w:t>
      </w:r>
      <w:r w:rsidR="0033230D">
        <w:rPr>
          <w:rFonts w:ascii="Arial" w:hAnsi="Arial" w:cs="Arial"/>
          <w:sz w:val="24"/>
          <w:szCs w:val="24"/>
        </w:rPr>
        <w:t xml:space="preserve">Mientras </w:t>
      </w:r>
      <w:r w:rsidR="0033230D" w:rsidRPr="0033230D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33230D" w:rsidRPr="0033230D">
        <w:rPr>
          <w:rFonts w:ascii="Arial" w:hAnsi="Arial" w:cs="Arial"/>
          <w:sz w:val="24"/>
          <w:szCs w:val="24"/>
        </w:rPr>
        <w:t>Guelaguetza</w:t>
      </w:r>
      <w:proofErr w:type="spellEnd"/>
      <w:r w:rsidR="0033230D" w:rsidRPr="0033230D">
        <w:rPr>
          <w:rFonts w:ascii="Arial" w:hAnsi="Arial" w:cs="Arial"/>
          <w:sz w:val="24"/>
          <w:szCs w:val="24"/>
        </w:rPr>
        <w:t xml:space="preserve"> es una fiesta folclórica que reúne a las ocho regiones y 16 grupos étnicos de Oaxaca con un motivo: la ofrenda a la diosa del maíz </w:t>
      </w:r>
      <w:proofErr w:type="spellStart"/>
      <w:r w:rsidR="0033230D" w:rsidRPr="0033230D">
        <w:rPr>
          <w:rFonts w:ascii="Arial" w:hAnsi="Arial" w:cs="Arial"/>
          <w:sz w:val="24"/>
          <w:szCs w:val="24"/>
        </w:rPr>
        <w:t>Centéotl</w:t>
      </w:r>
      <w:proofErr w:type="spellEnd"/>
      <w:r w:rsidR="0033230D" w:rsidRPr="0033230D">
        <w:rPr>
          <w:rFonts w:ascii="Arial" w:hAnsi="Arial" w:cs="Arial"/>
          <w:sz w:val="24"/>
          <w:szCs w:val="24"/>
        </w:rPr>
        <w:t xml:space="preserve">. En este festival, los oaxaqueños ofrecen lo más valioso de sus tradiciones y herencia cultural a través de la danza, la música y los cantos. Se </w:t>
      </w:r>
      <w:r w:rsidR="0033230D" w:rsidRPr="0033230D">
        <w:rPr>
          <w:rFonts w:ascii="Arial" w:hAnsi="Arial" w:cs="Arial"/>
          <w:sz w:val="24"/>
          <w:szCs w:val="24"/>
        </w:rPr>
        <w:lastRenderedPageBreak/>
        <w:t xml:space="preserve">realiza en el Auditorio </w:t>
      </w:r>
      <w:proofErr w:type="spellStart"/>
      <w:r w:rsidR="0033230D" w:rsidRPr="0033230D">
        <w:rPr>
          <w:rFonts w:ascii="Arial" w:hAnsi="Arial" w:cs="Arial"/>
          <w:sz w:val="24"/>
          <w:szCs w:val="24"/>
        </w:rPr>
        <w:t>Guelaguetza</w:t>
      </w:r>
      <w:proofErr w:type="spellEnd"/>
      <w:r w:rsidR="0033230D" w:rsidRPr="0033230D">
        <w:rPr>
          <w:rFonts w:ascii="Arial" w:hAnsi="Arial" w:cs="Arial"/>
          <w:sz w:val="24"/>
          <w:szCs w:val="24"/>
        </w:rPr>
        <w:t xml:space="preserve"> y el Centro Cultural y de Convenciones de Oaxaca.</w:t>
      </w:r>
      <w:r w:rsidR="0033230D">
        <w:rPr>
          <w:rFonts w:ascii="Arial" w:hAnsi="Arial" w:cs="Arial"/>
          <w:sz w:val="24"/>
          <w:szCs w:val="24"/>
        </w:rPr>
        <w:t xml:space="preserve"> Encontrando así ciertas diferencias tales como el propósito de estos espectáculos; mientras en la </w:t>
      </w:r>
      <w:proofErr w:type="spellStart"/>
      <w:r w:rsidR="0033230D" w:rsidRPr="0033230D">
        <w:rPr>
          <w:rFonts w:ascii="Arial" w:hAnsi="Arial" w:cs="Arial"/>
          <w:sz w:val="24"/>
          <w:szCs w:val="24"/>
        </w:rPr>
        <w:t>Guelaguetza</w:t>
      </w:r>
      <w:proofErr w:type="spellEnd"/>
      <w:r w:rsidR="0033230D">
        <w:rPr>
          <w:rFonts w:ascii="Arial" w:hAnsi="Arial" w:cs="Arial"/>
          <w:sz w:val="24"/>
          <w:szCs w:val="24"/>
        </w:rPr>
        <w:t xml:space="preserve"> se busca dar una ofrenda en </w:t>
      </w:r>
      <w:proofErr w:type="spellStart"/>
      <w:r w:rsidR="0033230D">
        <w:rPr>
          <w:rFonts w:ascii="Arial" w:hAnsi="Arial" w:cs="Arial"/>
          <w:sz w:val="24"/>
          <w:szCs w:val="24"/>
        </w:rPr>
        <w:t>Xcaret</w:t>
      </w:r>
      <w:proofErr w:type="spellEnd"/>
      <w:r w:rsidR="0033230D">
        <w:rPr>
          <w:rFonts w:ascii="Arial" w:hAnsi="Arial" w:cs="Arial"/>
          <w:sz w:val="24"/>
          <w:szCs w:val="24"/>
        </w:rPr>
        <w:t xml:space="preserve"> se busca representar la transformación de México. </w:t>
      </w:r>
    </w:p>
    <w:p w:rsidR="0033230D" w:rsidRDefault="0033230D" w:rsidP="00D3381E">
      <w:p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 considero que ambos espectáculos transmiten de una manera única las tradiciones y cultura de México.</w:t>
      </w:r>
    </w:p>
    <w:p w:rsidR="00D3381E" w:rsidRPr="003E64A5" w:rsidRDefault="00D3381E" w:rsidP="00D3381E">
      <w:pPr>
        <w:spacing w:before="240"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3381E" w:rsidRPr="00DF1BC1" w:rsidRDefault="00D3381E" w:rsidP="00DF1BC1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D3381E" w:rsidRPr="00DF1BC1" w:rsidSect="0033230D">
      <w:pgSz w:w="12240" w:h="15840"/>
      <w:pgMar w:top="1417" w:right="1701" w:bottom="1417" w:left="1701" w:header="708" w:footer="708" w:gutter="0"/>
      <w:pgBorders w:display="firstPage"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C1"/>
    <w:rsid w:val="00037346"/>
    <w:rsid w:val="0033230D"/>
    <w:rsid w:val="00CE1FEA"/>
    <w:rsid w:val="00D3381E"/>
    <w:rsid w:val="00D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E14B-504A-4CBC-9485-341484B2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7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37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373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3734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1</cp:revision>
  <dcterms:created xsi:type="dcterms:W3CDTF">2020-05-16T02:23:00Z</dcterms:created>
  <dcterms:modified xsi:type="dcterms:W3CDTF">2020-05-16T02:59:00Z</dcterms:modified>
</cp:coreProperties>
</file>