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Montserrat" w:cs="Montserrat" w:eastAsia="Montserrat" w:hAnsi="Montserrat"/>
          <w:b w:val="1"/>
          <w:color w:val="0070c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1494790</wp:posOffset>
            </wp:positionH>
            <wp:positionV relativeFrom="paragraph">
              <wp:posOffset>62230</wp:posOffset>
            </wp:positionV>
            <wp:extent cx="2215515" cy="1647825"/>
            <wp:effectExtent b="0" l="0" r="0" t="0"/>
            <wp:wrapSquare wrapText="bothSides" distB="0" distT="0" distL="114300" distR="114300"/>
            <wp:docPr descr="Escuela Normal de Educación Preescolar – Desarrollo de ..." id="1" name="image1.png"/>
            <a:graphic>
              <a:graphicData uri="http://schemas.openxmlformats.org/drawingml/2006/picture">
                <pic:pic>
                  <pic:nvPicPr>
                    <pic:cNvPr descr="Escuela Normal de Educación Preescolar – Desarrollo de ..." id="0" name="image1.png"/>
                    <pic:cNvPicPr preferRelativeResize="0"/>
                  </pic:nvPicPr>
                  <pic:blipFill>
                    <a:blip r:embed="rId6"/>
                    <a:srcRect b="0" l="0" r="0" t="0"/>
                    <a:stretch>
                      <a:fillRect/>
                    </a:stretch>
                  </pic:blipFill>
                  <pic:spPr>
                    <a:xfrm>
                      <a:off x="0" y="0"/>
                      <a:ext cx="2215515" cy="1647825"/>
                    </a:xfrm>
                    <a:prstGeom prst="rect"/>
                    <a:ln/>
                  </pic:spPr>
                </pic:pic>
              </a:graphicData>
            </a:graphic>
          </wp:anchor>
        </w:drawing>
      </w:r>
    </w:p>
    <w:p w:rsidR="00000000" w:rsidDel="00000000" w:rsidP="00000000" w:rsidRDefault="00000000" w:rsidRPr="00000000" w14:paraId="00000002">
      <w:pPr>
        <w:rPr>
          <w:rFonts w:ascii="Montserrat" w:cs="Montserrat" w:eastAsia="Montserrat" w:hAnsi="Montserrat"/>
          <w:b w:val="1"/>
          <w:color w:val="0070c0"/>
          <w:sz w:val="28"/>
          <w:szCs w:val="28"/>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b w:val="1"/>
          <w:color w:val="0070c0"/>
          <w:sz w:val="28"/>
          <w:szCs w:val="28"/>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b w:val="1"/>
          <w:color w:val="0070c0"/>
          <w:sz w:val="28"/>
          <w:szCs w:val="28"/>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b w:val="1"/>
          <w:color w:val="0070c0"/>
          <w:sz w:val="28"/>
          <w:szCs w:val="28"/>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b w:val="1"/>
          <w:color w:val="0070c0"/>
          <w:sz w:val="28"/>
          <w:szCs w:val="28"/>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b w:val="1"/>
          <w:color w:val="0070c0"/>
          <w:sz w:val="28"/>
          <w:szCs w:val="28"/>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b w:val="1"/>
          <w:color w:val="0070c0"/>
          <w:sz w:val="28"/>
          <w:szCs w:val="28"/>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b w:val="1"/>
          <w:color w:val="0070c0"/>
          <w:sz w:val="28"/>
          <w:szCs w:val="28"/>
        </w:rPr>
      </w:pPr>
      <w:r w:rsidDel="00000000" w:rsidR="00000000" w:rsidRPr="00000000">
        <w:rPr>
          <w:rtl w:val="0"/>
        </w:rPr>
      </w:r>
    </w:p>
    <w:p w:rsidR="00000000" w:rsidDel="00000000" w:rsidP="00000000" w:rsidRDefault="00000000" w:rsidRPr="00000000" w14:paraId="0000000A">
      <w:pPr>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ESCUELA NORMAL DE EDUCACIÓN PREESCOLAR</w:t>
      </w:r>
    </w:p>
    <w:p w:rsidR="00000000" w:rsidDel="00000000" w:rsidP="00000000" w:rsidRDefault="00000000" w:rsidRPr="00000000" w14:paraId="0000000B">
      <w:pPr>
        <w:rPr>
          <w:rFonts w:ascii="Arial" w:cs="Arial" w:eastAsia="Arial" w:hAnsi="Arial"/>
          <w:i w:val="1"/>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rtl w:val="0"/>
        </w:rPr>
      </w:r>
    </w:p>
    <w:p w:rsidR="00000000" w:rsidDel="00000000" w:rsidP="00000000" w:rsidRDefault="00000000" w:rsidRPr="00000000" w14:paraId="0000000D">
      <w:pPr>
        <w:jc w:val="center"/>
        <w:rPr>
          <w:color w:val="cc0000"/>
          <w:sz w:val="36"/>
          <w:szCs w:val="36"/>
        </w:rPr>
      </w:pPr>
      <w:r w:rsidDel="00000000" w:rsidR="00000000" w:rsidRPr="00000000">
        <w:rPr>
          <w:b w:val="1"/>
          <w:sz w:val="28"/>
          <w:szCs w:val="28"/>
          <w:rtl w:val="0"/>
        </w:rPr>
        <w:t xml:space="preserve">ACTIVIDAD</w:t>
      </w:r>
      <w:r w:rsidDel="00000000" w:rsidR="00000000" w:rsidRPr="00000000">
        <w:rPr>
          <w:sz w:val="28"/>
          <w:szCs w:val="28"/>
          <w:rtl w:val="0"/>
        </w:rPr>
        <w:t xml:space="preserve">: ORIENTACIONES PARA EL DISEÑO DE SITUACIONES DE APRENDIZAJE</w:t>
      </w:r>
      <w:r w:rsidDel="00000000" w:rsidR="00000000" w:rsidRPr="00000000">
        <w:rPr>
          <w:rtl w:val="0"/>
        </w:rPr>
      </w:r>
    </w:p>
    <w:p w:rsidR="00000000" w:rsidDel="00000000" w:rsidP="00000000" w:rsidRDefault="00000000" w:rsidRPr="00000000" w14:paraId="0000000E">
      <w:pPr>
        <w:rPr>
          <w:sz w:val="36"/>
          <w:szCs w:val="36"/>
        </w:rPr>
      </w:pPr>
      <w:r w:rsidDel="00000000" w:rsidR="00000000" w:rsidRPr="00000000">
        <w:rPr>
          <w:sz w:val="36"/>
          <w:szCs w:val="36"/>
          <w:rtl w:val="0"/>
        </w:rPr>
        <w:t xml:space="preserve">                </w:t>
      </w:r>
    </w:p>
    <w:p w:rsidR="00000000" w:rsidDel="00000000" w:rsidP="00000000" w:rsidRDefault="00000000" w:rsidRPr="00000000" w14:paraId="0000000F">
      <w:pPr>
        <w:jc w:val="center"/>
        <w:rPr>
          <w:sz w:val="36"/>
          <w:szCs w:val="36"/>
        </w:rPr>
      </w:pPr>
      <w:r w:rsidDel="00000000" w:rsidR="00000000" w:rsidRPr="00000000">
        <w:rPr>
          <w:sz w:val="36"/>
          <w:szCs w:val="36"/>
          <w:rtl w:val="0"/>
        </w:rPr>
        <w:t xml:space="preserve">Asignatura: Prácticas Sociales Del Lenguaje.</w:t>
      </w:r>
    </w:p>
    <w:p w:rsidR="00000000" w:rsidDel="00000000" w:rsidP="00000000" w:rsidRDefault="00000000" w:rsidRPr="00000000" w14:paraId="00000010">
      <w:pPr>
        <w:jc w:val="center"/>
        <w:rPr>
          <w:sz w:val="36"/>
          <w:szCs w:val="36"/>
        </w:rPr>
      </w:pPr>
      <w:r w:rsidDel="00000000" w:rsidR="00000000" w:rsidRPr="00000000">
        <w:rPr>
          <w:sz w:val="36"/>
          <w:szCs w:val="36"/>
          <w:rtl w:val="0"/>
        </w:rPr>
        <w:t xml:space="preserve">Docente: Alejandra Isabel Cárdenas Gonzales</w:t>
      </w:r>
    </w:p>
    <w:p w:rsidR="00000000" w:rsidDel="00000000" w:rsidP="00000000" w:rsidRDefault="00000000" w:rsidRPr="00000000" w14:paraId="00000011">
      <w:pPr>
        <w:jc w:val="center"/>
        <w:rPr>
          <w:sz w:val="36"/>
          <w:szCs w:val="36"/>
        </w:rPr>
      </w:pPr>
      <w:r w:rsidDel="00000000" w:rsidR="00000000" w:rsidRPr="00000000">
        <w:rPr>
          <w:rtl w:val="0"/>
        </w:rPr>
      </w:r>
    </w:p>
    <w:p w:rsidR="00000000" w:rsidDel="00000000" w:rsidP="00000000" w:rsidRDefault="00000000" w:rsidRPr="00000000" w14:paraId="00000012">
      <w:pPr>
        <w:jc w:val="center"/>
        <w:rPr>
          <w:sz w:val="28"/>
          <w:szCs w:val="28"/>
        </w:rPr>
      </w:pPr>
      <w:r w:rsidDel="00000000" w:rsidR="00000000" w:rsidRPr="00000000">
        <w:rPr>
          <w:sz w:val="28"/>
          <w:szCs w:val="28"/>
          <w:rtl w:val="0"/>
        </w:rPr>
        <w:t xml:space="preserve">UNIDAD II </w:t>
      </w:r>
    </w:p>
    <w:p w:rsidR="00000000" w:rsidDel="00000000" w:rsidP="00000000" w:rsidRDefault="00000000" w:rsidRPr="00000000" w14:paraId="00000013">
      <w:pPr>
        <w:jc w:val="center"/>
        <w:rPr>
          <w:sz w:val="28"/>
          <w:szCs w:val="28"/>
        </w:rPr>
      </w:pPr>
      <w:r w:rsidDel="00000000" w:rsidR="00000000" w:rsidRPr="00000000">
        <w:rPr>
          <w:sz w:val="28"/>
          <w:szCs w:val="28"/>
          <w:rtl w:val="0"/>
        </w:rPr>
        <w:t xml:space="preserve">INVESTIGACIÓN SOBRE EL ENFOQUE DE PLANES Y PROGRAMAS DE ESTUDIO DEL ESPAÑOL EN EDUCACIÓN BÁSICA, EN EL NIVEL PREESCOLAR.</w:t>
      </w:r>
    </w:p>
    <w:p w:rsidR="00000000" w:rsidDel="00000000" w:rsidP="00000000" w:rsidRDefault="00000000" w:rsidRPr="00000000" w14:paraId="00000014">
      <w:pPr>
        <w:jc w:val="center"/>
        <w:rPr>
          <w:sz w:val="36"/>
          <w:szCs w:val="36"/>
        </w:rPr>
      </w:pPr>
      <w:r w:rsidDel="00000000" w:rsidR="00000000" w:rsidRPr="00000000">
        <w:rPr>
          <w:sz w:val="36"/>
          <w:szCs w:val="36"/>
          <w:rtl w:val="0"/>
        </w:rPr>
        <w:tab/>
      </w:r>
    </w:p>
    <w:p w:rsidR="00000000" w:rsidDel="00000000" w:rsidP="00000000" w:rsidRDefault="00000000" w:rsidRPr="00000000" w14:paraId="00000015">
      <w:pPr>
        <w:jc w:val="center"/>
        <w:rPr>
          <w:sz w:val="28"/>
          <w:szCs w:val="28"/>
        </w:rPr>
      </w:pPr>
      <w:r w:rsidDel="00000000" w:rsidR="00000000" w:rsidRPr="00000000">
        <w:rPr>
          <w:sz w:val="28"/>
          <w:szCs w:val="28"/>
          <w:rtl w:val="0"/>
        </w:rPr>
        <w:t xml:space="preserve">COMPETENCIAS </w:t>
      </w:r>
    </w:p>
    <w:p w:rsidR="00000000" w:rsidDel="00000000" w:rsidP="00000000" w:rsidRDefault="00000000" w:rsidRPr="00000000" w14:paraId="00000016">
      <w:pPr>
        <w:jc w:val="center"/>
        <w:rPr>
          <w:sz w:val="28"/>
          <w:szCs w:val="28"/>
        </w:rPr>
      </w:pPr>
      <w:r w:rsidDel="00000000" w:rsidR="00000000" w:rsidRPr="00000000">
        <w:rPr>
          <w:sz w:val="28"/>
          <w:szCs w:val="28"/>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17">
      <w:pPr>
        <w:jc w:val="center"/>
        <w:rPr>
          <w:sz w:val="28"/>
          <w:szCs w:val="28"/>
        </w:rPr>
      </w:pPr>
      <w:r w:rsidDel="00000000" w:rsidR="00000000" w:rsidRPr="00000000">
        <w:rPr>
          <w:sz w:val="28"/>
          <w:szCs w:val="28"/>
          <w:rtl w:val="0"/>
        </w:rPr>
        <w:tab/>
      </w:r>
    </w:p>
    <w:p w:rsidR="00000000" w:rsidDel="00000000" w:rsidP="00000000" w:rsidRDefault="00000000" w:rsidRPr="00000000" w14:paraId="00000018">
      <w:pPr>
        <w:jc w:val="center"/>
        <w:rPr>
          <w:sz w:val="28"/>
          <w:szCs w:val="28"/>
        </w:rPr>
      </w:pPr>
      <w:r w:rsidDel="00000000" w:rsidR="00000000" w:rsidRPr="00000000">
        <w:rPr>
          <w:sz w:val="28"/>
          <w:szCs w:val="28"/>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sz w:val="36"/>
          <w:szCs w:val="36"/>
        </w:rPr>
      </w:pPr>
      <w:r w:rsidDel="00000000" w:rsidR="00000000" w:rsidRPr="00000000">
        <w:rPr>
          <w:sz w:val="36"/>
          <w:szCs w:val="36"/>
          <w:rtl w:val="0"/>
        </w:rPr>
        <w:t xml:space="preserve">Alumnas: FERNANDA MAYTE CRUZ CASTRO #3</w:t>
      </w:r>
    </w:p>
    <w:p w:rsidR="00000000" w:rsidDel="00000000" w:rsidP="00000000" w:rsidRDefault="00000000" w:rsidRPr="00000000" w14:paraId="0000001B">
      <w:pPr>
        <w:jc w:val="center"/>
        <w:rPr>
          <w:rFonts w:ascii="Calibri" w:cs="Calibri" w:eastAsia="Calibri" w:hAnsi="Calibri"/>
          <w:b w:val="1"/>
          <w:sz w:val="36"/>
          <w:szCs w:val="36"/>
        </w:rPr>
      </w:pPr>
      <w:r w:rsidDel="00000000" w:rsidR="00000000" w:rsidRPr="00000000">
        <w:rPr>
          <w:rFonts w:ascii="Calibri" w:cs="Calibri" w:eastAsia="Calibri" w:hAnsi="Calibri"/>
          <w:b w:val="1"/>
          <w:color w:val="000000"/>
          <w:sz w:val="36"/>
          <w:szCs w:val="36"/>
          <w:rtl w:val="0"/>
        </w:rPr>
        <w:t xml:space="preserve">MARIA FERNANDA DAVILA BUSTOS #4</w:t>
      </w:r>
      <w:r w:rsidDel="00000000" w:rsidR="00000000" w:rsidRPr="00000000">
        <w:rPr>
          <w:rtl w:val="0"/>
        </w:rPr>
      </w:r>
    </w:p>
    <w:p w:rsidR="00000000" w:rsidDel="00000000" w:rsidP="00000000" w:rsidRDefault="00000000" w:rsidRPr="00000000" w14:paraId="0000001C">
      <w:pPr>
        <w:jc w:val="center"/>
        <w:rPr>
          <w:sz w:val="36"/>
          <w:szCs w:val="36"/>
        </w:rPr>
      </w:pPr>
      <w:r w:rsidDel="00000000" w:rsidR="00000000" w:rsidRPr="00000000">
        <w:rPr>
          <w:sz w:val="36"/>
          <w:szCs w:val="36"/>
          <w:rtl w:val="0"/>
        </w:rPr>
        <w:t xml:space="preserve">1 “D”</w:t>
      </w:r>
    </w:p>
    <w:p w:rsidR="00000000" w:rsidDel="00000000" w:rsidP="00000000" w:rsidRDefault="00000000" w:rsidRPr="00000000" w14:paraId="0000001D">
      <w:pPr>
        <w:jc w:val="center"/>
        <w:rPr>
          <w:sz w:val="36"/>
          <w:szCs w:val="36"/>
        </w:rPr>
      </w:pPr>
      <w:bookmarkStart w:colFirst="0" w:colLast="0" w:name="_gjdgxs" w:id="0"/>
      <w:bookmarkEnd w:id="0"/>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Montserrat" w:cs="Montserrat" w:eastAsia="Montserrat" w:hAnsi="Montserrat"/>
          <w:b w:val="1"/>
          <w:color w:val="0070c0"/>
          <w:sz w:val="28"/>
          <w:szCs w:val="28"/>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Montserrat" w:cs="Montserrat" w:eastAsia="Montserrat" w:hAnsi="Montserrat"/>
          <w:color w:val="0070c0"/>
          <w:sz w:val="28"/>
          <w:szCs w:val="28"/>
        </w:rPr>
      </w:pPr>
      <w:r w:rsidDel="00000000" w:rsidR="00000000" w:rsidRPr="00000000">
        <w:rPr>
          <w:rFonts w:ascii="Montserrat" w:cs="Montserrat" w:eastAsia="Montserrat" w:hAnsi="Montserrat"/>
          <w:b w:val="1"/>
          <w:color w:val="0070c0"/>
          <w:sz w:val="28"/>
          <w:szCs w:val="28"/>
          <w:rtl w:val="0"/>
        </w:rPr>
        <w:t xml:space="preserve">Orientaciones para el diseño de situaciones didácticas como marco</w:t>
      </w:r>
      <w:r w:rsidDel="00000000" w:rsidR="00000000" w:rsidRPr="00000000">
        <w:rPr>
          <w:rFonts w:ascii="Montserrat" w:cs="Montserrat" w:eastAsia="Montserrat" w:hAnsi="Montserrat"/>
          <w:color w:val="0070c0"/>
          <w:sz w:val="28"/>
          <w:szCs w:val="28"/>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Montserrat" w:cs="Montserrat" w:eastAsia="Montserrat" w:hAnsi="Montserrat"/>
          <w:b w:val="1"/>
          <w:color w:val="0070c0"/>
          <w:sz w:val="28"/>
          <w:szCs w:val="28"/>
        </w:rPr>
      </w:pPr>
      <w:r w:rsidDel="00000000" w:rsidR="00000000" w:rsidRPr="00000000">
        <w:rPr>
          <w:rFonts w:ascii="Montserrat" w:cs="Montserrat" w:eastAsia="Montserrat" w:hAnsi="Montserrat"/>
          <w:b w:val="1"/>
          <w:color w:val="0070c0"/>
          <w:sz w:val="28"/>
          <w:szCs w:val="28"/>
          <w:rtl w:val="0"/>
        </w:rPr>
        <w:t xml:space="preserve">para</w:t>
      </w:r>
      <w:r w:rsidDel="00000000" w:rsidR="00000000" w:rsidRPr="00000000">
        <w:rPr>
          <w:rFonts w:ascii="Montserrat" w:cs="Montserrat" w:eastAsia="Montserrat" w:hAnsi="Montserrat"/>
          <w:color w:val="0070c0"/>
          <w:sz w:val="28"/>
          <w:szCs w:val="28"/>
          <w:rtl w:val="0"/>
        </w:rPr>
        <w:t xml:space="preserve"> </w:t>
      </w:r>
      <w:r w:rsidDel="00000000" w:rsidR="00000000" w:rsidRPr="00000000">
        <w:rPr>
          <w:rFonts w:ascii="Montserrat" w:cs="Montserrat" w:eastAsia="Montserrat" w:hAnsi="Montserrat"/>
          <w:b w:val="1"/>
          <w:color w:val="0070c0"/>
          <w:sz w:val="28"/>
          <w:szCs w:val="28"/>
          <w:rtl w:val="0"/>
        </w:rPr>
        <w:t xml:space="preserve">modelar la producción de conocimientos .</w:t>
      </w:r>
    </w:p>
    <w:tbl>
      <w:tblPr>
        <w:tblStyle w:val="Table1"/>
        <w:tblW w:w="10631.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1"/>
        <w:gridCol w:w="1518"/>
        <w:gridCol w:w="2779"/>
        <w:gridCol w:w="5084"/>
        <w:tblGridChange w:id="0">
          <w:tblGrid>
            <w:gridCol w:w="1251"/>
            <w:gridCol w:w="1518"/>
            <w:gridCol w:w="2779"/>
            <w:gridCol w:w="5084"/>
          </w:tblGrid>
        </w:tblGridChange>
      </w:tblGrid>
      <w:tr>
        <w:trPr>
          <w:trHeight w:val="557" w:hRule="atLeast"/>
        </w:trPr>
        <w:tc>
          <w:tcPr>
            <w:shd w:fill="ffffff"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tc>
        <w:tc>
          <w:tcPr>
            <w:shd w:fill="70ad47" w:val="cle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Modalidad de trabajo </w:t>
            </w:r>
            <w:r w:rsidDel="00000000" w:rsidR="00000000" w:rsidRPr="00000000">
              <w:rPr>
                <w:rtl w:val="0"/>
              </w:rPr>
            </w:r>
          </w:p>
        </w:tc>
        <w:tc>
          <w:tcPr>
            <w:shd w:fill="5b9bd5" w:val="cle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Fundamentos o razones para su propuesta </w:t>
            </w:r>
            <w:r w:rsidDel="00000000" w:rsidR="00000000" w:rsidRPr="00000000">
              <w:rPr>
                <w:rtl w:val="0"/>
              </w:rPr>
            </w:r>
          </w:p>
        </w:tc>
        <w:tc>
          <w:tcPr>
            <w:shd w:fill="ffc000"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Referencia puntual para su cotejo (citar texto, página y párrafo de donde se obtiene el fundamento) </w:t>
            </w:r>
            <w:r w:rsidDel="00000000" w:rsidR="00000000" w:rsidRPr="00000000">
              <w:rPr>
                <w:rtl w:val="0"/>
              </w:rPr>
            </w:r>
          </w:p>
        </w:tc>
      </w:tr>
      <w:tr>
        <w:tc>
          <w:tcPr>
            <w:vMerge w:val="restart"/>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t xml:space="preserve">Planificación de proyectos </w:t>
            </w:r>
          </w:p>
        </w:tc>
        <w:tc>
          <w:tcPr/>
          <w:p w:rsidR="00000000" w:rsidDel="00000000" w:rsidP="00000000" w:rsidRDefault="00000000" w:rsidRPr="00000000" w14:paraId="00000027">
            <w:pPr>
              <w:jc w:val="both"/>
              <w:rPr/>
            </w:pPr>
            <w:r w:rsidDel="00000000" w:rsidR="00000000" w:rsidRPr="00000000">
              <w:rPr>
                <w:sz w:val="18"/>
                <w:szCs w:val="18"/>
                <w:rtl w:val="0"/>
              </w:rPr>
              <w:t xml:space="preserve">Otorga ventajas al docente para la toma de decisiones para plantear el contenido de enseñanza, esta actividad es fundamental para una mejor organización dentro el aula. Se maneja una secuencia de acciones como un plan de trabajo.</w:t>
            </w:r>
            <w:r w:rsidDel="00000000" w:rsidR="00000000" w:rsidRPr="00000000">
              <w:rPr>
                <w:rtl w:val="0"/>
              </w:rPr>
            </w:r>
          </w:p>
        </w:tc>
        <w:tc>
          <w:tcPr/>
          <w:p w:rsidR="00000000" w:rsidDel="00000000" w:rsidP="00000000" w:rsidRDefault="00000000" w:rsidRPr="00000000" w14:paraId="00000028">
            <w:pPr>
              <w:jc w:val="both"/>
              <w:rPr>
                <w:sz w:val="18"/>
                <w:szCs w:val="18"/>
              </w:rPr>
            </w:pPr>
            <w:r w:rsidDel="00000000" w:rsidR="00000000" w:rsidRPr="00000000">
              <w:rPr>
                <w:sz w:val="18"/>
                <w:szCs w:val="18"/>
                <w:rtl w:val="0"/>
              </w:rPr>
              <w:t xml:space="preserve">“Los proyectos son una forma de organizar el tiempo didáctico.  los proyectos o actividades permanentes son opciones. El contenido que pretendemos enseñar, los propósitos y la historia del grupo de alumnos, guiarán en la toma de decisiones acerca de cuál es la más adecuada. Es así como la planificación de proyectos enfrenta al docente con éstos y otros problemas didácticos. </w:t>
            </w:r>
            <w:r w:rsidDel="00000000" w:rsidR="00000000" w:rsidRPr="00000000">
              <w:rPr>
                <w:rFonts w:ascii="Helvetica Neue" w:cs="Helvetica Neue" w:eastAsia="Helvetica Neue" w:hAnsi="Helvetica Neue"/>
                <w:sz w:val="18"/>
                <w:szCs w:val="18"/>
                <w:highlight w:val="white"/>
                <w:rtl w:val="0"/>
              </w:rPr>
              <w:t xml:space="preserve">U</w:t>
            </w:r>
            <w:r w:rsidDel="00000000" w:rsidR="00000000" w:rsidRPr="00000000">
              <w:rPr>
                <w:sz w:val="18"/>
                <w:szCs w:val="18"/>
                <w:highlight w:val="white"/>
                <w:rtl w:val="0"/>
              </w:rPr>
              <w:t xml:space="preserve">n proyecto implica la elaboración de un producto tangible para los alumnos</w:t>
            </w:r>
            <w:r w:rsidDel="00000000" w:rsidR="00000000" w:rsidRPr="00000000">
              <w:rPr>
                <w:sz w:val="18"/>
                <w:szCs w:val="18"/>
                <w:rtl w:val="0"/>
              </w:rPr>
              <w:t xml:space="preserve">” (Galaburri, </w:t>
            </w:r>
            <w:r w:rsidDel="00000000" w:rsidR="00000000" w:rsidRPr="00000000">
              <w:rPr>
                <w:sz w:val="14"/>
                <w:szCs w:val="14"/>
                <w:rtl w:val="0"/>
              </w:rPr>
              <w:t xml:space="preserve">LA PLANIFICACIÓN DE PROYECTOS</w:t>
            </w:r>
            <w:r w:rsidDel="00000000" w:rsidR="00000000" w:rsidRPr="00000000">
              <w:rPr>
                <w:sz w:val="18"/>
                <w:szCs w:val="18"/>
                <w:rtl w:val="0"/>
              </w:rPr>
              <w:t xml:space="preserve">)</w:t>
            </w:r>
          </w:p>
          <w:p w:rsidR="00000000" w:rsidDel="00000000" w:rsidP="00000000" w:rsidRDefault="00000000" w:rsidRPr="00000000" w14:paraId="00000029">
            <w:pPr>
              <w:rPr/>
            </w:pPr>
            <w:r w:rsidDel="00000000" w:rsidR="00000000" w:rsidRPr="00000000">
              <w:rPr>
                <w:rtl w:val="0"/>
              </w:rPr>
            </w:r>
          </w:p>
        </w:tc>
      </w:tr>
      <w:tr>
        <w:trPr>
          <w:trHeight w:val="1366" w:hRule="atLeast"/>
        </w:trPr>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B">
            <w:pPr>
              <w:rPr/>
            </w:pPr>
            <w:r w:rsidDel="00000000" w:rsidR="00000000" w:rsidRPr="00000000">
              <w:rPr>
                <w:rtl w:val="0"/>
              </w:rPr>
              <w:t xml:space="preserve">Actividad de lectura</w:t>
            </w:r>
          </w:p>
        </w:tc>
        <w:tc>
          <w:tcPr/>
          <w:p w:rsidR="00000000" w:rsidDel="00000000" w:rsidP="00000000" w:rsidRDefault="00000000" w:rsidRPr="00000000" w14:paraId="0000002C">
            <w:pPr>
              <w:jc w:val="both"/>
              <w:rPr/>
            </w:pPr>
            <w:r w:rsidDel="00000000" w:rsidR="00000000" w:rsidRPr="00000000">
              <w:rPr>
                <w:sz w:val="20"/>
                <w:szCs w:val="20"/>
                <w:rtl w:val="0"/>
              </w:rPr>
              <w:t xml:space="preserve">Facilita que los alumnos mejores se desarrollo en la lectura, el alumno puede disfrutar de esta y pueda desarrollar una expresión oral o escrita</w:t>
            </w:r>
            <w:r w:rsidDel="00000000" w:rsidR="00000000" w:rsidRPr="00000000">
              <w:rPr>
                <w:rtl w:val="0"/>
              </w:rPr>
            </w:r>
          </w:p>
        </w:tc>
        <w:tc>
          <w:tcPr/>
          <w:p w:rsidR="00000000" w:rsidDel="00000000" w:rsidP="00000000" w:rsidRDefault="00000000" w:rsidRPr="00000000" w14:paraId="0000002D">
            <w:pPr>
              <w:jc w:val="both"/>
              <w:rPr>
                <w:sz w:val="18"/>
                <w:szCs w:val="18"/>
              </w:rPr>
            </w:pPr>
            <w:r w:rsidDel="00000000" w:rsidR="00000000" w:rsidRPr="00000000">
              <w:rPr>
                <w:sz w:val="18"/>
                <w:szCs w:val="18"/>
                <w:rtl w:val="0"/>
              </w:rPr>
              <w:t xml:space="preserve">“La actividad permanente de lectura posibilita a los alumnos desempeñarse como lectores, construir una interpretación que le permita situarse frente a la relación que el texto plantea con el mundo a través de la historia. En suma, vivir desde la posición del lector lo que provoca la escritura” (Galaburri, LA PLANIFICACIÓN DE PROYECTOS)</w:t>
            </w:r>
          </w:p>
          <w:p w:rsidR="00000000" w:rsidDel="00000000" w:rsidP="00000000" w:rsidRDefault="00000000" w:rsidRPr="00000000" w14:paraId="0000002E">
            <w:pPr>
              <w:rPr/>
            </w:pPr>
            <w:r w:rsidDel="00000000" w:rsidR="00000000" w:rsidRPr="00000000">
              <w:rPr>
                <w:rtl w:val="0"/>
              </w:rPr>
            </w:r>
          </w:p>
        </w:tc>
      </w:tr>
      <w:tr>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t xml:space="preserve">Actividad de escritura </w:t>
            </w:r>
          </w:p>
        </w:tc>
        <w:tc>
          <w:tcPr/>
          <w:p w:rsidR="00000000" w:rsidDel="00000000" w:rsidP="00000000" w:rsidRDefault="00000000" w:rsidRPr="00000000" w14:paraId="00000031">
            <w:pPr>
              <w:jc w:val="both"/>
              <w:rPr/>
            </w:pPr>
            <w:r w:rsidDel="00000000" w:rsidR="00000000" w:rsidRPr="00000000">
              <w:rPr>
                <w:sz w:val="20"/>
                <w:szCs w:val="20"/>
                <w:rtl w:val="0"/>
              </w:rPr>
              <w:t xml:space="preserve">Desarrolla interés por la escritura en los niños, genera el conocimiento sobre la importancia de la escritura n la vida diaria y sus diferentes usos.</w:t>
            </w:r>
            <w:r w:rsidDel="00000000" w:rsidR="00000000" w:rsidRPr="00000000">
              <w:rPr>
                <w:rtl w:val="0"/>
              </w:rPr>
            </w:r>
          </w:p>
        </w:tc>
        <w:tc>
          <w:tcPr/>
          <w:p w:rsidR="00000000" w:rsidDel="00000000" w:rsidP="00000000" w:rsidRDefault="00000000" w:rsidRPr="00000000" w14:paraId="00000032">
            <w:pPr>
              <w:jc w:val="both"/>
              <w:rPr>
                <w:sz w:val="18"/>
                <w:szCs w:val="18"/>
              </w:rPr>
            </w:pPr>
            <w:r w:rsidDel="00000000" w:rsidR="00000000" w:rsidRPr="00000000">
              <w:rPr>
                <w:sz w:val="18"/>
                <w:szCs w:val="18"/>
                <w:rtl w:val="0"/>
              </w:rPr>
              <w:t xml:space="preserve">“El proyecto de escritura posibilita a los alumnos encontrar sentido al escribir en la escuela. La primera etapa estaría destinada a la lectura de textos que el docente ha seleccionado, con la finalidad de generar el acercamiento a la particularidad de estos cuentos. La segunda etapa comenzaría con la escritura de sus propios cuentos” (Galaburri, LA PLANIFICACIÓN DE PROYECTOS)</w:t>
            </w:r>
          </w:p>
          <w:p w:rsidR="00000000" w:rsidDel="00000000" w:rsidP="00000000" w:rsidRDefault="00000000" w:rsidRPr="00000000" w14:paraId="00000033">
            <w:pPr>
              <w:rPr/>
            </w:pPr>
            <w:r w:rsidDel="00000000" w:rsidR="00000000" w:rsidRPr="00000000">
              <w:rPr>
                <w:rtl w:val="0"/>
              </w:rPr>
            </w:r>
          </w:p>
        </w:tc>
      </w:tr>
      <w:tr>
        <w:tc>
          <w:tcPr>
            <w:vMerge w:val="restart"/>
          </w:tcPr>
          <w:p w:rsidR="00000000" w:rsidDel="00000000" w:rsidP="00000000" w:rsidRDefault="00000000" w:rsidRPr="00000000" w14:paraId="00000034">
            <w:pPr>
              <w:rPr/>
            </w:pPr>
            <w:r w:rsidDel="00000000" w:rsidR="00000000" w:rsidRPr="00000000">
              <w:rPr>
                <w:rtl w:val="0"/>
              </w:rPr>
              <w:t xml:space="preserve">Enseñanza en la diversidad</w:t>
            </w:r>
          </w:p>
        </w:tc>
        <w:tc>
          <w:tcPr/>
          <w:p w:rsidR="00000000" w:rsidDel="00000000" w:rsidP="00000000" w:rsidRDefault="00000000" w:rsidRPr="00000000" w14:paraId="00000035">
            <w:pPr>
              <w:rPr/>
            </w:pPr>
            <w:r w:rsidDel="00000000" w:rsidR="00000000" w:rsidRPr="00000000">
              <w:rPr>
                <w:rtl w:val="0"/>
              </w:rPr>
              <w:t xml:space="preserve"> Manera de enseñanza o de aprendizaje </w:t>
            </w:r>
          </w:p>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sz w:val="20"/>
                <w:szCs w:val="20"/>
              </w:rPr>
            </w:pPr>
            <w:r w:rsidDel="00000000" w:rsidR="00000000" w:rsidRPr="00000000">
              <w:rPr>
                <w:sz w:val="20"/>
                <w:szCs w:val="20"/>
                <w:rtl w:val="0"/>
              </w:rPr>
              <w:t xml:space="preserve">yo era “otra”, en este caso porque enseñaba de una manera diferente de como ella entendía la enseñanza y, como</w:t>
            </w:r>
          </w:p>
          <w:p w:rsidR="00000000" w:rsidDel="00000000" w:rsidP="00000000" w:rsidRDefault="00000000" w:rsidRPr="00000000" w14:paraId="00000038">
            <w:pPr>
              <w:rPr>
                <w:sz w:val="20"/>
                <w:szCs w:val="20"/>
              </w:rPr>
            </w:pPr>
            <w:r w:rsidDel="00000000" w:rsidR="00000000" w:rsidRPr="00000000">
              <w:rPr>
                <w:sz w:val="20"/>
                <w:szCs w:val="20"/>
                <w:rtl w:val="0"/>
              </w:rPr>
              <w:t xml:space="preserve">era diferente, era deficiente.</w:t>
            </w:r>
          </w:p>
        </w:tc>
        <w:tc>
          <w:tcPr/>
          <w:p w:rsidR="00000000" w:rsidDel="00000000" w:rsidP="00000000" w:rsidRDefault="00000000" w:rsidRPr="00000000" w14:paraId="00000039">
            <w:pPr>
              <w:rPr/>
            </w:pPr>
            <w:r w:rsidDel="00000000" w:rsidR="00000000" w:rsidRPr="00000000">
              <w:rPr>
                <w:sz w:val="20"/>
                <w:szCs w:val="20"/>
                <w:rtl w:val="0"/>
              </w:rPr>
              <w:t xml:space="preserve">Ser “otro” implica ser diferente en algún sentido (o, simplemente, hacer algo diferente). Y toda diferencia puede ser considerada como déficit, depende de quién tenga el poder y de cómo lo use (consciente o inconscientemente(DELIA LERNER,ENSEÑAR EN LA DIVERSIDAD)</w:t>
            </w:r>
            <w:r w:rsidDel="00000000" w:rsidR="00000000" w:rsidRPr="00000000">
              <w:rPr>
                <w:rtl w:val="0"/>
              </w:rPr>
            </w:r>
          </w:p>
        </w:tc>
      </w:tr>
      <w:tr>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t xml:space="preserve">Sectores sociales </w:t>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sz w:val="20"/>
                <w:szCs w:val="20"/>
              </w:rPr>
            </w:pPr>
            <w:r w:rsidDel="00000000" w:rsidR="00000000" w:rsidRPr="00000000">
              <w:rPr>
                <w:sz w:val="20"/>
                <w:szCs w:val="20"/>
                <w:rtl w:val="0"/>
              </w:rPr>
              <w:t xml:space="preserve">El sector social de origen no determina mecanicamente las posibilidades de aprendizaje de los chicos. Encontramos diversdad en todos los sectores sociales.(DELIA LERNER,ENSEÑAR EN LA DIVERSIDAD)</w:t>
            </w:r>
          </w:p>
        </w:tc>
      </w:tr>
      <w:tr>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t xml:space="preserve">linguistico</w:t>
            </w:r>
          </w:p>
        </w:tc>
        <w:tc>
          <w:tcPr/>
          <w:p w:rsidR="00000000" w:rsidDel="00000000" w:rsidP="00000000" w:rsidRDefault="00000000" w:rsidRPr="00000000" w14:paraId="00000040">
            <w:pPr>
              <w:rPr>
                <w:sz w:val="20"/>
                <w:szCs w:val="20"/>
              </w:rPr>
            </w:pPr>
            <w:r w:rsidDel="00000000" w:rsidR="00000000" w:rsidRPr="00000000">
              <w:rPr>
                <w:sz w:val="20"/>
                <w:szCs w:val="20"/>
                <w:rtl w:val="0"/>
              </w:rPr>
              <w:t xml:space="preserve">La teoría de la deficiencia sociocultural de los chicos de clase baja migrantes </w:t>
            </w:r>
          </w:p>
        </w:tc>
        <w:tc>
          <w:tcPr/>
          <w:p w:rsidR="00000000" w:rsidDel="00000000" w:rsidP="00000000" w:rsidRDefault="00000000" w:rsidRPr="00000000" w14:paraId="00000041">
            <w:pPr>
              <w:rPr>
                <w:sz w:val="20"/>
                <w:szCs w:val="20"/>
              </w:rPr>
            </w:pPr>
            <w:r w:rsidDel="00000000" w:rsidR="00000000" w:rsidRPr="00000000">
              <w:rPr>
                <w:sz w:val="20"/>
                <w:szCs w:val="20"/>
                <w:rtl w:val="0"/>
              </w:rPr>
              <w:t xml:space="preserve">Ya habíamos notado en otros lugares que los hijos de inmigrantes universitarios o refugiados políticos(por ejemplo, portugueses o griegos) eran bilingües y a los 4 años se desempeñaban mucho mejor en las dos lenguas que los niños que hablaban un solo idioma […]. (Vial, Stam - bak et. al, 1986: 107)</w:t>
            </w:r>
          </w:p>
        </w:tc>
      </w:tr>
      <w:tr>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t xml:space="preserve">“Las actividades permanentes de la lectura”</w:t>
            </w:r>
          </w:p>
          <w:p w:rsidR="00000000" w:rsidDel="00000000" w:rsidP="00000000" w:rsidRDefault="00000000" w:rsidRPr="00000000" w14:paraId="00000044">
            <w:pPr>
              <w:rPr/>
            </w:pPr>
            <w:r w:rsidDel="00000000" w:rsidR="00000000" w:rsidRPr="00000000">
              <w:rPr>
                <w:rtl w:val="0"/>
              </w:rPr>
              <w:t xml:space="preserve">Practicas de la lectura</w:t>
            </w:r>
          </w:p>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sz w:val="20"/>
                <w:szCs w:val="20"/>
              </w:rPr>
            </w:pPr>
            <w:r w:rsidDel="00000000" w:rsidR="00000000" w:rsidRPr="00000000">
              <w:rPr>
                <w:sz w:val="20"/>
                <w:szCs w:val="20"/>
                <w:rtl w:val="0"/>
              </w:rPr>
              <w:t xml:space="preserve">Desarrollar "lectores" que sepan elegir el material correcto para leer, que entiendan el punto del escritor y que construyan nuevas interpretaciones. Que exista una buena organización en el aula.</w:t>
            </w:r>
          </w:p>
        </w:tc>
        <w:tc>
          <w:tcPr/>
          <w:p w:rsidR="00000000" w:rsidDel="00000000" w:rsidP="00000000" w:rsidRDefault="00000000" w:rsidRPr="00000000" w14:paraId="00000047">
            <w:pPr>
              <w:rPr>
                <w:sz w:val="20"/>
                <w:szCs w:val="20"/>
              </w:rPr>
            </w:pPr>
            <w:r w:rsidDel="00000000" w:rsidR="00000000" w:rsidRPr="00000000">
              <w:rPr>
                <w:sz w:val="20"/>
                <w:szCs w:val="20"/>
                <w:rtl w:val="0"/>
              </w:rPr>
              <w:t xml:space="preserve">"La propuesta es formar lectores que sepan elegir el material escrito que necesitan o desean leer, que puedan asumir una posición propia frente a la sostenida por los autores, que acepte implicarse en el proceso de la lectura, que utilice interpretaciones para leer o releer su realidad, que construya nuevas posibilidades. Estas prácticas de lectura son consideradas como contenido de enseñanza las cuales dirigen las acciones didácticas hacia la organización del tiempo en el aula." (Galaburi, “Las actividades permanentes de lectura”)</w:t>
            </w:r>
          </w:p>
        </w:tc>
      </w:tr>
    </w:tbl>
    <w:p w:rsidR="00000000" w:rsidDel="00000000" w:rsidP="00000000" w:rsidRDefault="00000000" w:rsidRPr="00000000" w14:paraId="00000048">
      <w:pPr>
        <w:jc w:val="both"/>
        <w:rPr>
          <w:sz w:val="20"/>
          <w:szCs w:val="20"/>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font w:name="Arial"/>
  <w:font w:name="Times New Roman"/>
  <w:font w:name="Helvetica Neu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