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pPr w:leftFromText="141" w:rightFromText="141" w:vertAnchor="text" w:horzAnchor="margin" w:tblpY="-111"/>
        <w:tblW w:w="0" w:type="auto"/>
        <w:tblLook w:val="04A0" w:firstRow="1" w:lastRow="0" w:firstColumn="1" w:lastColumn="0" w:noHBand="0" w:noVBand="1"/>
      </w:tblPr>
      <w:tblGrid>
        <w:gridCol w:w="3256"/>
        <w:gridCol w:w="2629"/>
        <w:gridCol w:w="2943"/>
      </w:tblGrid>
      <w:tr w:rsidR="000E1282" w14:paraId="3BE69CEF" w14:textId="77777777" w:rsidTr="00AD6D39">
        <w:tc>
          <w:tcPr>
            <w:tcW w:w="3256" w:type="dxa"/>
            <w:shd w:val="clear" w:color="auto" w:fill="70AD47" w:themeFill="accent6"/>
          </w:tcPr>
          <w:p w14:paraId="7831A3EA" w14:textId="77777777" w:rsidR="000E1282" w:rsidRDefault="000E1282" w:rsidP="000E1282">
            <w:pPr>
              <w:pStyle w:val="NormalWeb"/>
              <w:shd w:val="clear" w:color="auto" w:fill="FFFFFF"/>
              <w:rPr>
                <w:rFonts w:ascii="Montserrat" w:hAnsi="Montserrat"/>
                <w:sz w:val="20"/>
                <w:szCs w:val="20"/>
              </w:rPr>
            </w:pPr>
          </w:p>
          <w:p w14:paraId="236A3AE0" w14:textId="77777777" w:rsidR="000E1282" w:rsidRPr="0090172E" w:rsidRDefault="000E1282" w:rsidP="000E1282">
            <w:pPr>
              <w:pStyle w:val="NormalWeb"/>
              <w:shd w:val="clear" w:color="auto" w:fill="FFFFFF"/>
              <w:rPr>
                <w:b/>
                <w:bCs/>
                <w:sz w:val="22"/>
                <w:szCs w:val="22"/>
              </w:rPr>
            </w:pPr>
            <w:r>
              <w:rPr>
                <w:rFonts w:ascii="Montserrat" w:hAnsi="Montserrat"/>
                <w:sz w:val="20"/>
                <w:szCs w:val="20"/>
              </w:rPr>
              <w:t xml:space="preserve">        </w:t>
            </w:r>
            <w:r w:rsidRPr="0090172E">
              <w:rPr>
                <w:rFonts w:ascii="Montserrat" w:hAnsi="Montserrat"/>
                <w:b/>
                <w:bCs/>
                <w:sz w:val="22"/>
                <w:szCs w:val="22"/>
              </w:rPr>
              <w:t xml:space="preserve">Modalidad de trabajo </w:t>
            </w:r>
          </w:p>
        </w:tc>
        <w:tc>
          <w:tcPr>
            <w:tcW w:w="2629" w:type="dxa"/>
            <w:shd w:val="clear" w:color="auto" w:fill="5B9BD5" w:themeFill="accent5"/>
          </w:tcPr>
          <w:p w14:paraId="3D616862" w14:textId="77777777" w:rsidR="000E1282" w:rsidRDefault="000E1282" w:rsidP="000E1282">
            <w:pPr>
              <w:pStyle w:val="NormalWeb"/>
              <w:shd w:val="clear" w:color="auto" w:fill="FFFFFF"/>
              <w:rPr>
                <w:rFonts w:ascii="Montserrat" w:hAnsi="Montserrat"/>
                <w:sz w:val="20"/>
                <w:szCs w:val="20"/>
              </w:rPr>
            </w:pPr>
          </w:p>
          <w:p w14:paraId="5CEE5C9A" w14:textId="77777777" w:rsidR="000E1282" w:rsidRPr="0090172E" w:rsidRDefault="000E1282" w:rsidP="000E1282">
            <w:pPr>
              <w:pStyle w:val="NormalWeb"/>
              <w:shd w:val="clear" w:color="auto" w:fill="FFFFFF"/>
              <w:rPr>
                <w:b/>
                <w:bCs/>
                <w:sz w:val="22"/>
                <w:szCs w:val="22"/>
              </w:rPr>
            </w:pPr>
            <w:r w:rsidRPr="0090172E">
              <w:rPr>
                <w:rFonts w:ascii="Montserrat" w:hAnsi="Montserrat"/>
                <w:b/>
                <w:bCs/>
                <w:sz w:val="22"/>
                <w:szCs w:val="22"/>
              </w:rPr>
              <w:t xml:space="preserve">Fundamentos o razones para su propuesta </w:t>
            </w:r>
          </w:p>
          <w:p w14:paraId="3F637A74" w14:textId="77777777" w:rsidR="000E1282" w:rsidRDefault="000E1282" w:rsidP="000E1282"/>
        </w:tc>
        <w:tc>
          <w:tcPr>
            <w:tcW w:w="2943" w:type="dxa"/>
            <w:shd w:val="clear" w:color="auto" w:fill="FFC000"/>
          </w:tcPr>
          <w:p w14:paraId="665D8D4E" w14:textId="77777777" w:rsidR="000E1282" w:rsidRDefault="000E1282" w:rsidP="000E1282">
            <w:pPr>
              <w:pStyle w:val="NormalWeb"/>
              <w:shd w:val="clear" w:color="auto" w:fill="FFFFFF"/>
              <w:rPr>
                <w:rFonts w:ascii="Montserrat" w:hAnsi="Montserrat"/>
                <w:sz w:val="20"/>
                <w:szCs w:val="20"/>
              </w:rPr>
            </w:pPr>
          </w:p>
          <w:p w14:paraId="2E02C905" w14:textId="77777777" w:rsidR="000E1282" w:rsidRPr="0090172E" w:rsidRDefault="000E1282" w:rsidP="000E1282">
            <w:pPr>
              <w:pStyle w:val="NormalWeb"/>
              <w:shd w:val="clear" w:color="auto" w:fill="FFFFFF"/>
              <w:rPr>
                <w:b/>
                <w:bCs/>
              </w:rPr>
            </w:pPr>
            <w:r w:rsidRPr="0090172E">
              <w:rPr>
                <w:rFonts w:ascii="Montserrat" w:hAnsi="Montserrat"/>
                <w:b/>
                <w:bCs/>
                <w:sz w:val="20"/>
                <w:szCs w:val="20"/>
              </w:rPr>
              <w:t xml:space="preserve">Referencia puntual para su cotejo (citar texto, página y párrafo de donde se obtiene el fundamento) </w:t>
            </w:r>
          </w:p>
        </w:tc>
      </w:tr>
      <w:tr w:rsidR="000E1282" w14:paraId="4083C761" w14:textId="77777777" w:rsidTr="00AD6D39">
        <w:tc>
          <w:tcPr>
            <w:tcW w:w="3256" w:type="dxa"/>
          </w:tcPr>
          <w:p w14:paraId="191F47AE" w14:textId="77777777" w:rsidR="000E1282" w:rsidRDefault="000E1282" w:rsidP="000E1282">
            <w:pPr>
              <w:pStyle w:val="Prrafodelista"/>
              <w:numPr>
                <w:ilvl w:val="0"/>
                <w:numId w:val="1"/>
              </w:numPr>
            </w:pPr>
            <w:r>
              <w:t>Las modalidades de trabajo que nos muestra Delia Lerner se basan en trabajar por igual con los distintos grupos de alumnos que existen en las escuelas.</w:t>
            </w:r>
          </w:p>
          <w:p w14:paraId="600DA34B" w14:textId="77777777" w:rsidR="000E1282" w:rsidRDefault="000E1282" w:rsidP="000E1282">
            <w:pPr>
              <w:pStyle w:val="Prrafodelista"/>
              <w:numPr>
                <w:ilvl w:val="0"/>
                <w:numId w:val="1"/>
              </w:numPr>
            </w:pPr>
            <w:r>
              <w:t>Plantear situaciones que promuevan la construcción de estrategias de resolución.</w:t>
            </w:r>
          </w:p>
          <w:p w14:paraId="063E6039" w14:textId="77777777" w:rsidR="000E1282" w:rsidRDefault="000E1282" w:rsidP="000E1282">
            <w:pPr>
              <w:pStyle w:val="Prrafodelista"/>
              <w:numPr>
                <w:ilvl w:val="0"/>
                <w:numId w:val="1"/>
              </w:numPr>
            </w:pPr>
            <w:r>
              <w:t>Tomar iniciativas para motivar a los alumnos a comportarse como alumnos</w:t>
            </w:r>
          </w:p>
          <w:p w14:paraId="21FE145F" w14:textId="77777777" w:rsidR="000E1282" w:rsidRDefault="000E1282" w:rsidP="000E1282"/>
        </w:tc>
        <w:tc>
          <w:tcPr>
            <w:tcW w:w="2629" w:type="dxa"/>
          </w:tcPr>
          <w:p w14:paraId="2B6033B0" w14:textId="77777777" w:rsidR="000E1282" w:rsidRDefault="000E1282" w:rsidP="000E1282"/>
          <w:p w14:paraId="24ABC31A" w14:textId="77777777" w:rsidR="000E1282" w:rsidRDefault="000E1282" w:rsidP="000E1282">
            <w:r>
              <w:t>Esto se puede comprobar ya que en base a estas modalidades de trabajo se realizaron investigaciones y se pudo llegar a una conclusión razonable para poder trabajarlo.</w:t>
            </w:r>
          </w:p>
          <w:p w14:paraId="6C687FF4" w14:textId="77777777" w:rsidR="000E1282" w:rsidRDefault="000E1282" w:rsidP="000E1282"/>
          <w:p w14:paraId="0001A6BC" w14:textId="77777777" w:rsidR="000E1282" w:rsidRDefault="000E1282" w:rsidP="000E1282"/>
          <w:p w14:paraId="5A662DC5" w14:textId="77777777" w:rsidR="000E1282" w:rsidRDefault="000E1282" w:rsidP="000E1282"/>
          <w:p w14:paraId="1CF6D69B" w14:textId="77777777" w:rsidR="000E1282" w:rsidRDefault="000E1282" w:rsidP="000E1282"/>
          <w:p w14:paraId="4493B932" w14:textId="77777777" w:rsidR="000E1282" w:rsidRDefault="000E1282" w:rsidP="000E1282"/>
          <w:p w14:paraId="7234988A" w14:textId="77777777" w:rsidR="000E1282" w:rsidRDefault="000E1282" w:rsidP="000E1282"/>
          <w:p w14:paraId="66CCDD1E" w14:textId="77777777" w:rsidR="000E1282" w:rsidRDefault="000E1282" w:rsidP="000E1282"/>
          <w:p w14:paraId="5C4BB2D2" w14:textId="77777777" w:rsidR="000E1282" w:rsidRDefault="000E1282" w:rsidP="000E1282"/>
          <w:p w14:paraId="5F1803D8" w14:textId="77777777" w:rsidR="000E1282" w:rsidRDefault="000E1282" w:rsidP="000E1282"/>
          <w:p w14:paraId="37586257" w14:textId="77777777" w:rsidR="000E1282" w:rsidRDefault="000E1282" w:rsidP="000E1282"/>
          <w:p w14:paraId="54C17A85" w14:textId="77777777" w:rsidR="000E1282" w:rsidRDefault="000E1282" w:rsidP="000E1282"/>
          <w:p w14:paraId="1D863522" w14:textId="77777777" w:rsidR="000E1282" w:rsidRDefault="000E1282" w:rsidP="000E1282"/>
          <w:p w14:paraId="40B113A5" w14:textId="77777777" w:rsidR="000E1282" w:rsidRDefault="000E1282" w:rsidP="000E1282"/>
        </w:tc>
        <w:tc>
          <w:tcPr>
            <w:tcW w:w="2943" w:type="dxa"/>
          </w:tcPr>
          <w:p w14:paraId="644B86EB" w14:textId="77777777" w:rsidR="000E1282" w:rsidRDefault="000E1282" w:rsidP="000E1282">
            <w:r>
              <w:t>Los investigadores señalan la importancia que tuvieron para estas investigaciones y los estudios de W.labov (1969) demostró que la privación verbal de los negros norteamericanos es un mito, ya que en las escuelas se pretende trabajar equitativamente con todos los grupos multiculturales que existen.</w:t>
            </w:r>
          </w:p>
        </w:tc>
      </w:tr>
      <w:tr w:rsidR="000E1282" w14:paraId="320DD715" w14:textId="77777777" w:rsidTr="00AD6D39">
        <w:tc>
          <w:tcPr>
            <w:tcW w:w="3256" w:type="dxa"/>
          </w:tcPr>
          <w:p w14:paraId="1A849E32" w14:textId="77777777" w:rsidR="000E1282" w:rsidRDefault="000E1282" w:rsidP="000E1282">
            <w:pPr>
              <w:pStyle w:val="Prrafodelista"/>
              <w:numPr>
                <w:ilvl w:val="0"/>
                <w:numId w:val="2"/>
              </w:numPr>
            </w:pPr>
            <w:r>
              <w:t>La comprensión de textos en relación con el lenguaje escrito es incorporar a los niños en la escritura y la oralidad se basa en el lenguaje, el cual tiene diversos propósitos .</w:t>
            </w:r>
          </w:p>
        </w:tc>
        <w:tc>
          <w:tcPr>
            <w:tcW w:w="2629" w:type="dxa"/>
          </w:tcPr>
          <w:p w14:paraId="6CB5A25A" w14:textId="77777777" w:rsidR="000E1282" w:rsidRDefault="000E1282" w:rsidP="000E1282">
            <w:r>
              <w:t>Esto se da con la finalidad de que los niños tengan nociones de lectura y escritura ya que esto es de vital importancia para su desarrollo académico y en sus actividades cotidianas.</w:t>
            </w:r>
          </w:p>
        </w:tc>
        <w:tc>
          <w:tcPr>
            <w:tcW w:w="2943" w:type="dxa"/>
          </w:tcPr>
          <w:p w14:paraId="0F224DC2" w14:textId="77777777" w:rsidR="000E1282" w:rsidRDefault="000E1282" w:rsidP="000E1282">
            <w:r>
              <w:t>Hay que usar los textos como se hace socialmente, al involucrar a los niños en ello se les hace participes de la experiencia lectora y escritora.</w:t>
            </w:r>
          </w:p>
        </w:tc>
      </w:tr>
      <w:tr w:rsidR="000E1282" w14:paraId="143044B8" w14:textId="77777777" w:rsidTr="00AD6D39">
        <w:tc>
          <w:tcPr>
            <w:tcW w:w="3256" w:type="dxa"/>
          </w:tcPr>
          <w:p w14:paraId="02373A7E" w14:textId="2CE00A5A" w:rsidR="000E1282" w:rsidRDefault="000E1282" w:rsidP="000E1282">
            <w:pPr>
              <w:pStyle w:val="Prrafodelista"/>
              <w:numPr>
                <w:ilvl w:val="0"/>
                <w:numId w:val="2"/>
              </w:numPr>
            </w:pPr>
            <w:r>
              <w:t xml:space="preserve">Las modalidades de las que nos habla </w:t>
            </w:r>
            <w:r w:rsidR="00C22BD3">
              <w:t>María</w:t>
            </w:r>
            <w:r>
              <w:t xml:space="preserve"> Galaburri es recurrir a modalidades que permiten la presentación escolar de la lectura </w:t>
            </w:r>
            <w:r>
              <w:lastRenderedPageBreak/>
              <w:t>constituida por su complejidad y otro por parte de los alumnos para que puedan leer por si mismos, las situaciones de lectura pueden diseñarse dentro de los proyectos que se planifiquen.</w:t>
            </w:r>
          </w:p>
          <w:p w14:paraId="483FB753" w14:textId="77777777" w:rsidR="000E1282" w:rsidRDefault="000E1282" w:rsidP="000E1282">
            <w:pPr>
              <w:pStyle w:val="Prrafodelista"/>
              <w:numPr>
                <w:ilvl w:val="0"/>
                <w:numId w:val="2"/>
              </w:numPr>
            </w:pPr>
            <w:r>
              <w:t>Actividades permanentes.</w:t>
            </w:r>
          </w:p>
          <w:p w14:paraId="57096957" w14:textId="77777777" w:rsidR="000E1282" w:rsidRDefault="000E1282" w:rsidP="000E1282">
            <w:pPr>
              <w:pStyle w:val="Prrafodelista"/>
              <w:numPr>
                <w:ilvl w:val="0"/>
                <w:numId w:val="2"/>
              </w:numPr>
            </w:pPr>
            <w:r>
              <w:t xml:space="preserve">Secuencias de actividades </w:t>
            </w:r>
          </w:p>
          <w:p w14:paraId="5800FEAB" w14:textId="13EDB080" w:rsidR="000E1282" w:rsidRDefault="000E1282" w:rsidP="000E1282">
            <w:pPr>
              <w:pStyle w:val="Prrafodelista"/>
              <w:numPr>
                <w:ilvl w:val="0"/>
                <w:numId w:val="2"/>
              </w:numPr>
            </w:pPr>
            <w:r>
              <w:t>Situaciones independientes.</w:t>
            </w:r>
          </w:p>
        </w:tc>
        <w:tc>
          <w:tcPr>
            <w:tcW w:w="2629" w:type="dxa"/>
          </w:tcPr>
          <w:p w14:paraId="3936CF3F" w14:textId="791CB4A7" w:rsidR="000E1282" w:rsidRDefault="000E1282" w:rsidP="000E1282">
            <w:r>
              <w:lastRenderedPageBreak/>
              <w:t xml:space="preserve">La propuesta es formar lectores que sepan elegir el material escrito que necesitan o desean leer; asumir una posición propia a la sostenida por </w:t>
            </w:r>
            <w:r w:rsidR="00C22BD3">
              <w:t xml:space="preserve">autores </w:t>
            </w:r>
            <w:r w:rsidR="00C22BD3">
              <w:lastRenderedPageBreak/>
              <w:t>de</w:t>
            </w:r>
            <w:r>
              <w:t xml:space="preserve"> los textos con los que interactúan; que acepten implicarse en el proceso que constituye la lectura y que sepan compensar aquello que se ha perdido en la escritura de un texto.</w:t>
            </w:r>
          </w:p>
        </w:tc>
        <w:tc>
          <w:tcPr>
            <w:tcW w:w="2943" w:type="dxa"/>
          </w:tcPr>
          <w:p w14:paraId="06B977A9" w14:textId="330A6AD8" w:rsidR="000E1282" w:rsidRDefault="00AD6D39" w:rsidP="000E1282">
            <w:r>
              <w:lastRenderedPageBreak/>
              <w:t xml:space="preserve">La aceptación de esta propuesta supone la </w:t>
            </w:r>
            <w:r w:rsidR="00C22BD3">
              <w:t>decisión</w:t>
            </w:r>
            <w:r>
              <w:t xml:space="preserve"> de enseñar las practicas sociales de lectura en las que se manifiestan diversos modos de leer e interpretar los textos.</w:t>
            </w:r>
          </w:p>
        </w:tc>
      </w:tr>
      <w:tr w:rsidR="000E1282" w14:paraId="157AC6C8" w14:textId="77777777" w:rsidTr="00AD6D39">
        <w:tc>
          <w:tcPr>
            <w:tcW w:w="3256" w:type="dxa"/>
          </w:tcPr>
          <w:p w14:paraId="1AC914C6" w14:textId="6C68F530" w:rsidR="00AD6D39" w:rsidRDefault="00AD6D39" w:rsidP="00AD6D39">
            <w:pPr>
              <w:pStyle w:val="Prrafodelista"/>
              <w:numPr>
                <w:ilvl w:val="0"/>
                <w:numId w:val="3"/>
              </w:numPr>
            </w:pPr>
            <w:r>
              <w:t>Planifica primero una actividad permanente de lectura</w:t>
            </w:r>
            <w:r w:rsidR="00C22BD3">
              <w:t xml:space="preserve"> </w:t>
            </w:r>
            <w:r>
              <w:t>para que los alumnos tengan la posibilidad de interactuar intensamente con</w:t>
            </w:r>
            <w:r w:rsidR="00C22BD3">
              <w:t xml:space="preserve"> </w:t>
            </w:r>
            <w:r>
              <w:t>esos textos o comienza con el proyecto de escritura, en el cual leerán los</w:t>
            </w:r>
            <w:r w:rsidR="00C22BD3">
              <w:t xml:space="preserve"> </w:t>
            </w:r>
            <w:r>
              <w:t>cuentos de autor sabiendo que ellos van a escribirlos después.</w:t>
            </w:r>
          </w:p>
        </w:tc>
        <w:tc>
          <w:tcPr>
            <w:tcW w:w="2629" w:type="dxa"/>
          </w:tcPr>
          <w:p w14:paraId="499739B6" w14:textId="77777777" w:rsidR="00AD6D39" w:rsidRDefault="00AD6D39" w:rsidP="00AD6D39">
            <w:r>
              <w:t>Comenzar por la actividad permanente de lectura posibilita a los alumnos</w:t>
            </w:r>
          </w:p>
          <w:p w14:paraId="5C1ECC0F" w14:textId="56A96EDF" w:rsidR="00AD6D39" w:rsidRDefault="00AD6D39" w:rsidP="00AD6D39">
            <w:r>
              <w:t>desempeñarse como lectores; construir una</w:t>
            </w:r>
          </w:p>
          <w:p w14:paraId="57A3BBAA" w14:textId="77777777" w:rsidR="00C22BD3" w:rsidRDefault="00AD6D39" w:rsidP="00AD6D39">
            <w:r>
              <w:t>interpretación que le permita situarse frente a la relación que el texto plantea</w:t>
            </w:r>
            <w:r w:rsidR="00C22BD3">
              <w:t xml:space="preserve"> </w:t>
            </w:r>
            <w:r>
              <w:t>con el mundo a través de la historia.</w:t>
            </w:r>
          </w:p>
          <w:p w14:paraId="2F2E9FCF" w14:textId="5F267214" w:rsidR="000E1282" w:rsidRDefault="00C22BD3" w:rsidP="00C22BD3">
            <w:r>
              <w:t>V</w:t>
            </w:r>
            <w:r w:rsidR="00AD6D39">
              <w:t>ivir desde la posición del</w:t>
            </w:r>
            <w:r>
              <w:t xml:space="preserve"> </w:t>
            </w:r>
            <w:r w:rsidR="00AD6D39">
              <w:t xml:space="preserve">lector lo que provoca la escritura. </w:t>
            </w:r>
          </w:p>
        </w:tc>
        <w:tc>
          <w:tcPr>
            <w:tcW w:w="2943" w:type="dxa"/>
          </w:tcPr>
          <w:p w14:paraId="2AB5A4AA" w14:textId="60F35649" w:rsidR="000E1282" w:rsidRDefault="00AD6D39" w:rsidP="000E1282">
            <w:r>
              <w:t xml:space="preserve">Si todos, alumnos y docente, pueden sentirse partícipes de un proyecto colectivo que los compromete, se favorece la colaboración en la construcción de un campo de conocimientos que guíe la lectura presente en la revisión. Así, los problemas que los autores no puedan ver en sus textos, podrán ser visualizados por sus compañeros. </w:t>
            </w:r>
          </w:p>
        </w:tc>
      </w:tr>
    </w:tbl>
    <w:p w14:paraId="4140325C" w14:textId="77777777" w:rsidR="0090172E" w:rsidRDefault="0090172E"/>
    <w:p w14:paraId="5336BA6F" w14:textId="77777777" w:rsidR="00600C07" w:rsidRPr="002307AC" w:rsidRDefault="00600C07" w:rsidP="00600C07">
      <w:pPr>
        <w:pStyle w:val="NormalWeb"/>
        <w:spacing w:before="0" w:beforeAutospacing="0" w:after="0" w:afterAutospacing="0"/>
        <w:rPr>
          <w:rFonts w:ascii="Montserrat" w:hAnsi="Montserrat"/>
          <w:color w:val="0070C0"/>
          <w:sz w:val="28"/>
          <w:szCs w:val="28"/>
        </w:rPr>
      </w:pPr>
      <w:r w:rsidRPr="002307AC">
        <w:rPr>
          <w:rFonts w:ascii="Montserrat" w:hAnsi="Montserrat"/>
          <w:b/>
          <w:bCs/>
          <w:color w:val="0070C0"/>
          <w:sz w:val="28"/>
          <w:szCs w:val="28"/>
        </w:rPr>
        <w:t>Orientaciones para el diseño de situaciones didácticas como marco</w:t>
      </w:r>
      <w:r w:rsidRPr="002307AC">
        <w:rPr>
          <w:rFonts w:ascii="Montserrat" w:hAnsi="Montserrat"/>
          <w:color w:val="0070C0"/>
          <w:sz w:val="28"/>
          <w:szCs w:val="28"/>
        </w:rPr>
        <w:t xml:space="preserve">. </w:t>
      </w:r>
    </w:p>
    <w:p w14:paraId="759B03D2" w14:textId="77777777" w:rsidR="00600C07" w:rsidRPr="002307AC" w:rsidRDefault="00600C07" w:rsidP="00600C07">
      <w:pPr>
        <w:pStyle w:val="NormalWeb"/>
        <w:spacing w:before="0" w:beforeAutospacing="0" w:after="0" w:afterAutospacing="0"/>
        <w:rPr>
          <w:rFonts w:ascii="Montserrat" w:hAnsi="Montserrat"/>
          <w:b/>
          <w:bCs/>
          <w:color w:val="0070C0"/>
          <w:sz w:val="28"/>
          <w:szCs w:val="28"/>
        </w:rPr>
      </w:pPr>
      <w:r w:rsidRPr="002307AC">
        <w:rPr>
          <w:rFonts w:ascii="Montserrat" w:hAnsi="Montserrat"/>
          <w:b/>
          <w:bCs/>
          <w:color w:val="0070C0"/>
          <w:sz w:val="28"/>
          <w:szCs w:val="28"/>
        </w:rPr>
        <w:t>para</w:t>
      </w:r>
      <w:r w:rsidRPr="002307AC">
        <w:rPr>
          <w:rFonts w:ascii="Montserrat" w:hAnsi="Montserrat"/>
          <w:color w:val="0070C0"/>
          <w:sz w:val="28"/>
          <w:szCs w:val="28"/>
        </w:rPr>
        <w:t xml:space="preserve"> </w:t>
      </w:r>
      <w:r w:rsidRPr="002307AC">
        <w:rPr>
          <w:rFonts w:ascii="Montserrat" w:hAnsi="Montserrat"/>
          <w:b/>
          <w:bCs/>
          <w:color w:val="0070C0"/>
          <w:sz w:val="28"/>
          <w:szCs w:val="28"/>
        </w:rPr>
        <w:t>modelar la producción de conocimientos .</w:t>
      </w:r>
    </w:p>
    <w:p w14:paraId="56EE84C7" w14:textId="1FFEA170" w:rsidR="00600C07" w:rsidRPr="00600C07" w:rsidRDefault="00724669" w:rsidP="00600C07">
      <w:pPr>
        <w:pStyle w:val="NormalWeb"/>
        <w:rPr>
          <w:b/>
          <w:bCs/>
          <w:sz w:val="28"/>
          <w:szCs w:val="28"/>
        </w:rPr>
      </w:pPr>
      <w:r>
        <w:rPr>
          <w:b/>
          <w:bCs/>
          <w:noProof/>
          <w:sz w:val="28"/>
          <w:szCs w:val="28"/>
        </w:rPr>
        <w:lastRenderedPageBreak/>
        <w:drawing>
          <wp:anchor distT="0" distB="0" distL="114300" distR="114300" simplePos="0" relativeHeight="251659264" behindDoc="0" locked="0" layoutInCell="1" allowOverlap="1" wp14:anchorId="06840D8C" wp14:editId="4077745B">
            <wp:simplePos x="0" y="0"/>
            <wp:positionH relativeFrom="column">
              <wp:posOffset>0</wp:posOffset>
            </wp:positionH>
            <wp:positionV relativeFrom="paragraph">
              <wp:posOffset>369570</wp:posOffset>
            </wp:positionV>
            <wp:extent cx="5612130" cy="7480935"/>
            <wp:effectExtent l="0" t="0" r="7620" b="571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12130" cy="7480935"/>
                    </a:xfrm>
                    <a:prstGeom prst="rect">
                      <a:avLst/>
                    </a:prstGeom>
                  </pic:spPr>
                </pic:pic>
              </a:graphicData>
            </a:graphic>
          </wp:anchor>
        </w:drawing>
      </w:r>
    </w:p>
    <w:p w14:paraId="176898F1" w14:textId="77777777" w:rsidR="001200CE" w:rsidRDefault="001200CE"/>
    <w:sectPr w:rsidR="001200CE" w:rsidSect="00DC3A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
    <w:altName w:val="Cambria"/>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168E5"/>
    <w:multiLevelType w:val="hybridMultilevel"/>
    <w:tmpl w:val="A446A0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BB3E52"/>
    <w:multiLevelType w:val="hybridMultilevel"/>
    <w:tmpl w:val="93161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B10820"/>
    <w:multiLevelType w:val="hybridMultilevel"/>
    <w:tmpl w:val="ACA6EA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0CE"/>
    <w:rsid w:val="000E1282"/>
    <w:rsid w:val="001200CE"/>
    <w:rsid w:val="00172A34"/>
    <w:rsid w:val="001A2C77"/>
    <w:rsid w:val="001D2D7B"/>
    <w:rsid w:val="002307AC"/>
    <w:rsid w:val="002F0CC0"/>
    <w:rsid w:val="00480DCD"/>
    <w:rsid w:val="00600C07"/>
    <w:rsid w:val="00724669"/>
    <w:rsid w:val="008108FD"/>
    <w:rsid w:val="00891419"/>
    <w:rsid w:val="0090172E"/>
    <w:rsid w:val="00A56A6B"/>
    <w:rsid w:val="00AC080C"/>
    <w:rsid w:val="00AD6D39"/>
    <w:rsid w:val="00C22BD3"/>
    <w:rsid w:val="00DA7DE9"/>
    <w:rsid w:val="00DC3A22"/>
    <w:rsid w:val="00F7376C"/>
    <w:rsid w:val="00FE29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9AC11"/>
  <w15:chartTrackingRefBased/>
  <w15:docId w15:val="{EED9C56A-C470-F648-B96C-65122292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20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0C07"/>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480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332103">
      <w:bodyDiv w:val="1"/>
      <w:marLeft w:val="0"/>
      <w:marRight w:val="0"/>
      <w:marTop w:val="0"/>
      <w:marBottom w:val="0"/>
      <w:divBdr>
        <w:top w:val="none" w:sz="0" w:space="0" w:color="auto"/>
        <w:left w:val="none" w:sz="0" w:space="0" w:color="auto"/>
        <w:bottom w:val="none" w:sz="0" w:space="0" w:color="auto"/>
        <w:right w:val="none" w:sz="0" w:space="0" w:color="auto"/>
      </w:divBdr>
      <w:divsChild>
        <w:div w:id="1001348583">
          <w:marLeft w:val="0"/>
          <w:marRight w:val="0"/>
          <w:marTop w:val="0"/>
          <w:marBottom w:val="0"/>
          <w:divBdr>
            <w:top w:val="none" w:sz="0" w:space="0" w:color="auto"/>
            <w:left w:val="none" w:sz="0" w:space="0" w:color="auto"/>
            <w:bottom w:val="none" w:sz="0" w:space="0" w:color="auto"/>
            <w:right w:val="none" w:sz="0" w:space="0" w:color="auto"/>
          </w:divBdr>
          <w:divsChild>
            <w:div w:id="2064523658">
              <w:marLeft w:val="0"/>
              <w:marRight w:val="0"/>
              <w:marTop w:val="0"/>
              <w:marBottom w:val="0"/>
              <w:divBdr>
                <w:top w:val="none" w:sz="0" w:space="0" w:color="auto"/>
                <w:left w:val="none" w:sz="0" w:space="0" w:color="auto"/>
                <w:bottom w:val="none" w:sz="0" w:space="0" w:color="auto"/>
                <w:right w:val="none" w:sz="0" w:space="0" w:color="auto"/>
              </w:divBdr>
              <w:divsChild>
                <w:div w:id="15221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18735">
      <w:bodyDiv w:val="1"/>
      <w:marLeft w:val="0"/>
      <w:marRight w:val="0"/>
      <w:marTop w:val="0"/>
      <w:marBottom w:val="0"/>
      <w:divBdr>
        <w:top w:val="none" w:sz="0" w:space="0" w:color="auto"/>
        <w:left w:val="none" w:sz="0" w:space="0" w:color="auto"/>
        <w:bottom w:val="none" w:sz="0" w:space="0" w:color="auto"/>
        <w:right w:val="none" w:sz="0" w:space="0" w:color="auto"/>
      </w:divBdr>
      <w:divsChild>
        <w:div w:id="1519003464">
          <w:marLeft w:val="0"/>
          <w:marRight w:val="0"/>
          <w:marTop w:val="0"/>
          <w:marBottom w:val="0"/>
          <w:divBdr>
            <w:top w:val="none" w:sz="0" w:space="0" w:color="auto"/>
            <w:left w:val="none" w:sz="0" w:space="0" w:color="auto"/>
            <w:bottom w:val="none" w:sz="0" w:space="0" w:color="auto"/>
            <w:right w:val="none" w:sz="0" w:space="0" w:color="auto"/>
          </w:divBdr>
          <w:divsChild>
            <w:div w:id="1423644035">
              <w:marLeft w:val="0"/>
              <w:marRight w:val="0"/>
              <w:marTop w:val="0"/>
              <w:marBottom w:val="0"/>
              <w:divBdr>
                <w:top w:val="none" w:sz="0" w:space="0" w:color="auto"/>
                <w:left w:val="none" w:sz="0" w:space="0" w:color="auto"/>
                <w:bottom w:val="none" w:sz="0" w:space="0" w:color="auto"/>
                <w:right w:val="none" w:sz="0" w:space="0" w:color="auto"/>
              </w:divBdr>
              <w:divsChild>
                <w:div w:id="1648780197">
                  <w:marLeft w:val="0"/>
                  <w:marRight w:val="0"/>
                  <w:marTop w:val="0"/>
                  <w:marBottom w:val="0"/>
                  <w:divBdr>
                    <w:top w:val="none" w:sz="0" w:space="0" w:color="auto"/>
                    <w:left w:val="none" w:sz="0" w:space="0" w:color="auto"/>
                    <w:bottom w:val="none" w:sz="0" w:space="0" w:color="auto"/>
                    <w:right w:val="none" w:sz="0" w:space="0" w:color="auto"/>
                  </w:divBdr>
                  <w:divsChild>
                    <w:div w:id="8009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968509">
      <w:bodyDiv w:val="1"/>
      <w:marLeft w:val="0"/>
      <w:marRight w:val="0"/>
      <w:marTop w:val="0"/>
      <w:marBottom w:val="0"/>
      <w:divBdr>
        <w:top w:val="none" w:sz="0" w:space="0" w:color="auto"/>
        <w:left w:val="none" w:sz="0" w:space="0" w:color="auto"/>
        <w:bottom w:val="none" w:sz="0" w:space="0" w:color="auto"/>
        <w:right w:val="none" w:sz="0" w:space="0" w:color="auto"/>
      </w:divBdr>
      <w:divsChild>
        <w:div w:id="2075932146">
          <w:marLeft w:val="0"/>
          <w:marRight w:val="0"/>
          <w:marTop w:val="0"/>
          <w:marBottom w:val="0"/>
          <w:divBdr>
            <w:top w:val="none" w:sz="0" w:space="0" w:color="auto"/>
            <w:left w:val="none" w:sz="0" w:space="0" w:color="auto"/>
            <w:bottom w:val="none" w:sz="0" w:space="0" w:color="auto"/>
            <w:right w:val="none" w:sz="0" w:space="0" w:color="auto"/>
          </w:divBdr>
          <w:divsChild>
            <w:div w:id="622731419">
              <w:marLeft w:val="0"/>
              <w:marRight w:val="0"/>
              <w:marTop w:val="0"/>
              <w:marBottom w:val="0"/>
              <w:divBdr>
                <w:top w:val="none" w:sz="0" w:space="0" w:color="auto"/>
                <w:left w:val="none" w:sz="0" w:space="0" w:color="auto"/>
                <w:bottom w:val="none" w:sz="0" w:space="0" w:color="auto"/>
                <w:right w:val="none" w:sz="0" w:space="0" w:color="auto"/>
              </w:divBdr>
              <w:divsChild>
                <w:div w:id="18521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18542">
      <w:bodyDiv w:val="1"/>
      <w:marLeft w:val="0"/>
      <w:marRight w:val="0"/>
      <w:marTop w:val="0"/>
      <w:marBottom w:val="0"/>
      <w:divBdr>
        <w:top w:val="none" w:sz="0" w:space="0" w:color="auto"/>
        <w:left w:val="none" w:sz="0" w:space="0" w:color="auto"/>
        <w:bottom w:val="none" w:sz="0" w:space="0" w:color="auto"/>
        <w:right w:val="none" w:sz="0" w:space="0" w:color="auto"/>
      </w:divBdr>
      <w:divsChild>
        <w:div w:id="1185755100">
          <w:marLeft w:val="0"/>
          <w:marRight w:val="0"/>
          <w:marTop w:val="0"/>
          <w:marBottom w:val="0"/>
          <w:divBdr>
            <w:top w:val="none" w:sz="0" w:space="0" w:color="auto"/>
            <w:left w:val="none" w:sz="0" w:space="0" w:color="auto"/>
            <w:bottom w:val="none" w:sz="0" w:space="0" w:color="auto"/>
            <w:right w:val="none" w:sz="0" w:space="0" w:color="auto"/>
          </w:divBdr>
          <w:divsChild>
            <w:div w:id="1602302211">
              <w:marLeft w:val="0"/>
              <w:marRight w:val="0"/>
              <w:marTop w:val="0"/>
              <w:marBottom w:val="0"/>
              <w:divBdr>
                <w:top w:val="none" w:sz="0" w:space="0" w:color="auto"/>
                <w:left w:val="none" w:sz="0" w:space="0" w:color="auto"/>
                <w:bottom w:val="none" w:sz="0" w:space="0" w:color="auto"/>
                <w:right w:val="none" w:sz="0" w:space="0" w:color="auto"/>
              </w:divBdr>
              <w:divsChild>
                <w:div w:id="2065829404">
                  <w:marLeft w:val="0"/>
                  <w:marRight w:val="0"/>
                  <w:marTop w:val="0"/>
                  <w:marBottom w:val="0"/>
                  <w:divBdr>
                    <w:top w:val="none" w:sz="0" w:space="0" w:color="auto"/>
                    <w:left w:val="none" w:sz="0" w:space="0" w:color="auto"/>
                    <w:bottom w:val="none" w:sz="0" w:space="0" w:color="auto"/>
                    <w:right w:val="none" w:sz="0" w:space="0" w:color="auto"/>
                  </w:divBdr>
                  <w:divsChild>
                    <w:div w:id="209443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403002">
      <w:bodyDiv w:val="1"/>
      <w:marLeft w:val="0"/>
      <w:marRight w:val="0"/>
      <w:marTop w:val="0"/>
      <w:marBottom w:val="0"/>
      <w:divBdr>
        <w:top w:val="none" w:sz="0" w:space="0" w:color="auto"/>
        <w:left w:val="none" w:sz="0" w:space="0" w:color="auto"/>
        <w:bottom w:val="none" w:sz="0" w:space="0" w:color="auto"/>
        <w:right w:val="none" w:sz="0" w:space="0" w:color="auto"/>
      </w:divBdr>
      <w:divsChild>
        <w:div w:id="130637613">
          <w:marLeft w:val="0"/>
          <w:marRight w:val="0"/>
          <w:marTop w:val="0"/>
          <w:marBottom w:val="0"/>
          <w:divBdr>
            <w:top w:val="none" w:sz="0" w:space="0" w:color="auto"/>
            <w:left w:val="none" w:sz="0" w:space="0" w:color="auto"/>
            <w:bottom w:val="none" w:sz="0" w:space="0" w:color="auto"/>
            <w:right w:val="none" w:sz="0" w:space="0" w:color="auto"/>
          </w:divBdr>
          <w:divsChild>
            <w:div w:id="2009945438">
              <w:marLeft w:val="0"/>
              <w:marRight w:val="0"/>
              <w:marTop w:val="0"/>
              <w:marBottom w:val="0"/>
              <w:divBdr>
                <w:top w:val="none" w:sz="0" w:space="0" w:color="auto"/>
                <w:left w:val="none" w:sz="0" w:space="0" w:color="auto"/>
                <w:bottom w:val="none" w:sz="0" w:space="0" w:color="auto"/>
                <w:right w:val="none" w:sz="0" w:space="0" w:color="auto"/>
              </w:divBdr>
              <w:divsChild>
                <w:div w:id="323630050">
                  <w:marLeft w:val="0"/>
                  <w:marRight w:val="0"/>
                  <w:marTop w:val="0"/>
                  <w:marBottom w:val="0"/>
                  <w:divBdr>
                    <w:top w:val="none" w:sz="0" w:space="0" w:color="auto"/>
                    <w:left w:val="none" w:sz="0" w:space="0" w:color="auto"/>
                    <w:bottom w:val="none" w:sz="0" w:space="0" w:color="auto"/>
                    <w:right w:val="none" w:sz="0" w:space="0" w:color="auto"/>
                  </w:divBdr>
                  <w:divsChild>
                    <w:div w:id="8169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2871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isabel cardenas gonzalez</dc:creator>
  <cp:keywords/>
  <dc:description/>
  <cp:lastModifiedBy>rosasg0712@gmail.com</cp:lastModifiedBy>
  <cp:revision>3</cp:revision>
  <dcterms:created xsi:type="dcterms:W3CDTF">2020-05-15T03:39:00Z</dcterms:created>
  <dcterms:modified xsi:type="dcterms:W3CDTF">2020-05-15T03:39:00Z</dcterms:modified>
</cp:coreProperties>
</file>