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E3" w:rsidRDefault="00A406E3" w:rsidP="00A406E3">
      <w:pPr>
        <w:spacing w:before="240" w:line="240" w:lineRule="auto"/>
        <w:rPr>
          <w:b/>
          <w:color w:val="332C33"/>
          <w:sz w:val="44"/>
          <w:szCs w:val="40"/>
        </w:rPr>
      </w:pPr>
      <w:r>
        <w:rPr>
          <w:noProof/>
          <w:lang w:eastAsia="es-MX"/>
        </w:rPr>
        <w:drawing>
          <wp:anchor distT="114300" distB="114300" distL="114300" distR="114300" simplePos="0" relativeHeight="251659264" behindDoc="0" locked="0" layoutInCell="1" allowOverlap="1" wp14:anchorId="6C9754DC" wp14:editId="049F7370">
            <wp:simplePos x="0" y="0"/>
            <wp:positionH relativeFrom="margin">
              <wp:posOffset>-327660</wp:posOffset>
            </wp:positionH>
            <wp:positionV relativeFrom="margin">
              <wp:posOffset>-269875</wp:posOffset>
            </wp:positionV>
            <wp:extent cx="1076325" cy="111442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l="18674" r="14641"/>
                    <a:stretch>
                      <a:fillRect/>
                    </a:stretch>
                  </pic:blipFill>
                  <pic:spPr bwMode="auto">
                    <a:xfrm>
                      <a:off x="0" y="0"/>
                      <a:ext cx="1076325" cy="1114425"/>
                    </a:xfrm>
                    <a:prstGeom prst="rect">
                      <a:avLst/>
                    </a:prstGeom>
                    <a:noFill/>
                  </pic:spPr>
                </pic:pic>
              </a:graphicData>
            </a:graphic>
            <wp14:sizeRelH relativeFrom="margin">
              <wp14:pctWidth>0</wp14:pctWidth>
            </wp14:sizeRelH>
            <wp14:sizeRelV relativeFrom="margin">
              <wp14:pctHeight>0</wp14:pctHeight>
            </wp14:sizeRelV>
          </wp:anchor>
        </w:drawing>
      </w:r>
      <w:r>
        <w:rPr>
          <w:b/>
          <w:color w:val="332C33"/>
          <w:sz w:val="44"/>
          <w:szCs w:val="40"/>
        </w:rPr>
        <w:t>Escuela Normal de Educación Preescolar</w:t>
      </w:r>
    </w:p>
    <w:p w:rsidR="00A406E3" w:rsidRDefault="00A406E3" w:rsidP="00A406E3">
      <w:pPr>
        <w:spacing w:before="240" w:line="240" w:lineRule="auto"/>
        <w:jc w:val="center"/>
        <w:rPr>
          <w:b/>
          <w:color w:val="332C33"/>
          <w:sz w:val="32"/>
          <w:szCs w:val="28"/>
        </w:rPr>
      </w:pPr>
      <w:r>
        <w:rPr>
          <w:b/>
          <w:color w:val="332C33"/>
          <w:sz w:val="32"/>
          <w:szCs w:val="28"/>
        </w:rPr>
        <w:t xml:space="preserve">Licenciatura en educación preescolar. </w:t>
      </w:r>
      <w:r>
        <w:rPr>
          <w:b/>
          <w:color w:val="332C33"/>
          <w:sz w:val="36"/>
          <w:szCs w:val="28"/>
        </w:rPr>
        <w:t xml:space="preserve">  </w:t>
      </w:r>
    </w:p>
    <w:p w:rsidR="00A406E3" w:rsidRDefault="00A406E3" w:rsidP="00A406E3">
      <w:pPr>
        <w:spacing w:before="240" w:line="240" w:lineRule="auto"/>
        <w:jc w:val="center"/>
        <w:rPr>
          <w:b/>
          <w:color w:val="332C33"/>
          <w:sz w:val="32"/>
          <w:szCs w:val="28"/>
        </w:rPr>
      </w:pPr>
    </w:p>
    <w:p w:rsidR="00A406E3" w:rsidRDefault="00A406E3" w:rsidP="00A406E3">
      <w:pPr>
        <w:spacing w:before="240" w:line="240" w:lineRule="auto"/>
        <w:jc w:val="center"/>
        <w:rPr>
          <w:b/>
          <w:color w:val="332C33"/>
          <w:sz w:val="32"/>
          <w:szCs w:val="28"/>
        </w:rPr>
      </w:pPr>
      <w:r>
        <w:rPr>
          <w:b/>
          <w:color w:val="332C33"/>
          <w:sz w:val="32"/>
          <w:szCs w:val="28"/>
        </w:rPr>
        <w:t xml:space="preserve">Curso: </w:t>
      </w:r>
      <w:r>
        <w:rPr>
          <w:bCs/>
          <w:color w:val="332C33"/>
          <w:sz w:val="32"/>
          <w:szCs w:val="28"/>
        </w:rPr>
        <w:t>Estrategias para la exploración del mundo social</w:t>
      </w:r>
    </w:p>
    <w:p w:rsidR="00A406E3" w:rsidRDefault="00A406E3" w:rsidP="00A406E3">
      <w:pPr>
        <w:spacing w:before="240" w:line="240" w:lineRule="auto"/>
        <w:jc w:val="center"/>
        <w:rPr>
          <w:b/>
          <w:color w:val="332C33"/>
          <w:sz w:val="32"/>
          <w:szCs w:val="28"/>
        </w:rPr>
      </w:pPr>
      <w:r>
        <w:rPr>
          <w:b/>
          <w:color w:val="332C33"/>
          <w:sz w:val="32"/>
          <w:szCs w:val="28"/>
        </w:rPr>
        <w:t xml:space="preserve">Maestro: </w:t>
      </w:r>
      <w:r>
        <w:rPr>
          <w:bCs/>
          <w:color w:val="332C33"/>
          <w:sz w:val="32"/>
          <w:szCs w:val="28"/>
        </w:rPr>
        <w:t>Roberto Acosta Robles.</w:t>
      </w:r>
    </w:p>
    <w:p w:rsidR="00A406E3" w:rsidRDefault="00A406E3" w:rsidP="00A406E3">
      <w:pPr>
        <w:spacing w:before="240" w:line="240" w:lineRule="auto"/>
        <w:jc w:val="center"/>
        <w:rPr>
          <w:b/>
          <w:color w:val="332C33"/>
          <w:sz w:val="32"/>
          <w:szCs w:val="28"/>
        </w:rPr>
      </w:pPr>
      <w:r>
        <w:rPr>
          <w:b/>
          <w:color w:val="332C33"/>
          <w:sz w:val="32"/>
          <w:szCs w:val="28"/>
        </w:rPr>
        <w:t>Alumna:</w:t>
      </w:r>
    </w:p>
    <w:p w:rsidR="00A406E3" w:rsidRDefault="00A406E3" w:rsidP="00A406E3">
      <w:pPr>
        <w:spacing w:before="240" w:line="240" w:lineRule="auto"/>
        <w:jc w:val="center"/>
        <w:rPr>
          <w:color w:val="332C33"/>
          <w:sz w:val="32"/>
          <w:szCs w:val="28"/>
        </w:rPr>
      </w:pPr>
      <w:r>
        <w:rPr>
          <w:color w:val="332C33"/>
          <w:sz w:val="32"/>
          <w:szCs w:val="28"/>
        </w:rPr>
        <w:t>Cynthia Verónica González García. #8</w:t>
      </w:r>
    </w:p>
    <w:p w:rsidR="00A406E3" w:rsidRDefault="00A406E3" w:rsidP="00A406E3">
      <w:pPr>
        <w:spacing w:before="240" w:line="240" w:lineRule="auto"/>
        <w:jc w:val="center"/>
        <w:rPr>
          <w:b/>
          <w:bCs/>
          <w:color w:val="332C33"/>
          <w:sz w:val="48"/>
          <w:szCs w:val="48"/>
        </w:rPr>
      </w:pPr>
      <w:r>
        <w:rPr>
          <w:b/>
          <w:bCs/>
          <w:color w:val="332C33"/>
          <w:sz w:val="36"/>
          <w:szCs w:val="36"/>
        </w:rPr>
        <w:t xml:space="preserve">Unidad </w:t>
      </w:r>
      <w:proofErr w:type="spellStart"/>
      <w:r>
        <w:rPr>
          <w:b/>
          <w:bCs/>
          <w:color w:val="332C33"/>
          <w:sz w:val="36"/>
          <w:szCs w:val="36"/>
        </w:rPr>
        <w:t>Il</w:t>
      </w:r>
      <w:proofErr w:type="spellEnd"/>
    </w:p>
    <w:p w:rsidR="00A406E3" w:rsidRDefault="00A406E3" w:rsidP="00A406E3">
      <w:pPr>
        <w:spacing w:before="240" w:line="240" w:lineRule="auto"/>
        <w:jc w:val="center"/>
        <w:rPr>
          <w:b/>
          <w:bCs/>
          <w:color w:val="332C33"/>
          <w:sz w:val="36"/>
          <w:szCs w:val="32"/>
        </w:rPr>
      </w:pPr>
      <w:r>
        <w:rPr>
          <w:b/>
          <w:bCs/>
          <w:color w:val="332C33"/>
          <w:sz w:val="36"/>
          <w:szCs w:val="32"/>
        </w:rPr>
        <w:t>Competencias de la unidad de aprendizaje:</w:t>
      </w:r>
    </w:p>
    <w:p w:rsidR="00A406E3" w:rsidRDefault="00A406E3" w:rsidP="00A406E3">
      <w:pPr>
        <w:pStyle w:val="Prrafodelista"/>
        <w:numPr>
          <w:ilvl w:val="0"/>
          <w:numId w:val="1"/>
        </w:numPr>
        <w:spacing w:before="240" w:line="240" w:lineRule="auto"/>
        <w:jc w:val="center"/>
        <w:rPr>
          <w:sz w:val="24"/>
        </w:rPr>
      </w:pPr>
      <w:r>
        <w:rPr>
          <w:sz w:val="24"/>
        </w:rPr>
        <w:t>Soluciona problemas y toma decisiones utilizando su pensamiento crítico y creativo.</w:t>
      </w:r>
    </w:p>
    <w:p w:rsidR="00A406E3" w:rsidRDefault="00A406E3" w:rsidP="00A406E3">
      <w:pPr>
        <w:pStyle w:val="Prrafodelista"/>
        <w:numPr>
          <w:ilvl w:val="0"/>
          <w:numId w:val="1"/>
        </w:numPr>
        <w:spacing w:before="240" w:line="240" w:lineRule="auto"/>
        <w:jc w:val="center"/>
        <w:rPr>
          <w:sz w:val="24"/>
        </w:rPr>
      </w:pPr>
      <w:r>
        <w:rPr>
          <w:sz w:val="24"/>
        </w:rPr>
        <w:t>Aprende de manera autónoma y muestra iniciativa para autorregularse y fortalecer su desarrollo personal.</w:t>
      </w:r>
    </w:p>
    <w:p w:rsidR="00A406E3" w:rsidRDefault="00A406E3" w:rsidP="00A406E3">
      <w:pPr>
        <w:pStyle w:val="Prrafodelista"/>
        <w:numPr>
          <w:ilvl w:val="0"/>
          <w:numId w:val="1"/>
        </w:numPr>
        <w:spacing w:before="240" w:line="240" w:lineRule="auto"/>
        <w:jc w:val="center"/>
        <w:rPr>
          <w:sz w:val="24"/>
        </w:rPr>
      </w:pPr>
      <w:r>
        <w:rPr>
          <w:sz w:val="24"/>
        </w:rPr>
        <w:t>Colabora con diversos actores para generar proyectos innovadores de impacto social y educativo.</w:t>
      </w:r>
    </w:p>
    <w:p w:rsidR="00A406E3" w:rsidRDefault="00A406E3" w:rsidP="00A406E3">
      <w:pPr>
        <w:pStyle w:val="Prrafodelista"/>
        <w:numPr>
          <w:ilvl w:val="0"/>
          <w:numId w:val="1"/>
        </w:numPr>
        <w:spacing w:before="240" w:line="240" w:lineRule="auto"/>
        <w:jc w:val="center"/>
        <w:rPr>
          <w:sz w:val="24"/>
        </w:rPr>
      </w:pPr>
      <w:r>
        <w:rPr>
          <w:sz w:val="24"/>
        </w:rPr>
        <w:t>Utiliza las tecnologías de la información y la comunicación de manera crítica.</w:t>
      </w:r>
    </w:p>
    <w:p w:rsidR="00A406E3" w:rsidRDefault="00A406E3" w:rsidP="00A406E3">
      <w:pPr>
        <w:pStyle w:val="Prrafodelista"/>
        <w:numPr>
          <w:ilvl w:val="0"/>
          <w:numId w:val="1"/>
        </w:numPr>
        <w:spacing w:before="240" w:line="240" w:lineRule="auto"/>
        <w:jc w:val="center"/>
      </w:pPr>
      <w:r>
        <w:rPr>
          <w:sz w:val="24"/>
        </w:rPr>
        <w:t>Aplica sus habilidades lingüísticas y comunicativas en diversos contextos</w:t>
      </w:r>
      <w:r>
        <w:t>.</w:t>
      </w: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06E3" w:rsidRDefault="00A406E3">
      <w:pPr>
        <w:rPr>
          <w:rFonts w:ascii="Arial" w:hAnsi="Arial" w:cs="Arial"/>
          <w:color w:val="000000" w:themeColor="text1"/>
          <w:sz w:val="24"/>
        </w:rPr>
      </w:pPr>
    </w:p>
    <w:p w:rsidR="00A46254" w:rsidRPr="00A46254" w:rsidRDefault="00A46254" w:rsidP="00A46254">
      <w:pPr>
        <w:rPr>
          <w:rFonts w:ascii="Arial" w:hAnsi="Arial" w:cs="Arial"/>
          <w:color w:val="000000" w:themeColor="text1"/>
          <w:sz w:val="24"/>
        </w:rPr>
      </w:pPr>
      <w:r w:rsidRPr="00A46254">
        <w:rPr>
          <w:rFonts w:ascii="Arial" w:hAnsi="Arial" w:cs="Arial"/>
          <w:color w:val="000000" w:themeColor="text1"/>
          <w:sz w:val="24"/>
        </w:rPr>
        <w:lastRenderedPageBreak/>
        <w:t>En la educación, la preocupación por las diferencias se ha tornado la obsesión por los diferentes analizando al mismo tiempo las diferencias y confundiendo la “cuestión del otro” problema filosófico relativo a la ética y a la responsabilidad por toda figura de alteridad con la “obsesión por del otro”, por los “diferentes” o “extraños”</w:t>
      </w:r>
    </w:p>
    <w:p w:rsidR="00F8171C" w:rsidRPr="00A46254" w:rsidRDefault="00F8171C" w:rsidP="00A46254">
      <w:pPr>
        <w:rPr>
          <w:rFonts w:ascii="Arial" w:hAnsi="Arial" w:cs="Arial"/>
          <w:color w:val="000000" w:themeColor="text1"/>
          <w:sz w:val="24"/>
        </w:rPr>
      </w:pPr>
      <w:r w:rsidRPr="00A46254">
        <w:rPr>
          <w:rFonts w:ascii="Arial" w:hAnsi="Arial" w:cs="Arial"/>
          <w:color w:val="000000" w:themeColor="text1"/>
          <w:sz w:val="24"/>
        </w:rPr>
        <w:t>El investigador, reconocido por sus aportes pedagógicos y filosóficos al campo de la educación</w:t>
      </w:r>
    </w:p>
    <w:p w:rsidR="00F8171C" w:rsidRPr="00A46254" w:rsidRDefault="00A46254" w:rsidP="00A46254">
      <w:pPr>
        <w:rPr>
          <w:rFonts w:ascii="Arial" w:hAnsi="Arial" w:cs="Arial"/>
          <w:color w:val="000000" w:themeColor="text1"/>
          <w:sz w:val="24"/>
        </w:rPr>
      </w:pPr>
      <w:r w:rsidRPr="00A46254">
        <w:rPr>
          <w:rFonts w:ascii="Arial" w:hAnsi="Arial" w:cs="Arial"/>
          <w:color w:val="000000" w:themeColor="text1"/>
          <w:sz w:val="24"/>
        </w:rPr>
        <w:t>Habla</w:t>
      </w:r>
      <w:r w:rsidR="00F8171C" w:rsidRPr="00A46254">
        <w:rPr>
          <w:rFonts w:ascii="Arial" w:hAnsi="Arial" w:cs="Arial"/>
          <w:color w:val="000000" w:themeColor="text1"/>
          <w:sz w:val="24"/>
        </w:rPr>
        <w:t xml:space="preserve"> sobre los espacios de libertad, las experiencias posibles en las escuelas, la polémica sobre si la escuela es aliada del tiempo libre o del tiempo de trabajo y las pedagogías de las diferencias.</w:t>
      </w:r>
    </w:p>
    <w:p w:rsidR="009C17CA" w:rsidRPr="00A46254" w:rsidRDefault="00A46254" w:rsidP="00A46254">
      <w:pPr>
        <w:rPr>
          <w:rFonts w:ascii="Arial" w:hAnsi="Arial" w:cs="Arial"/>
          <w:color w:val="000000" w:themeColor="text1"/>
          <w:sz w:val="24"/>
        </w:rPr>
      </w:pPr>
      <w:r w:rsidRPr="00A46254">
        <w:rPr>
          <w:rFonts w:ascii="Arial" w:hAnsi="Arial" w:cs="Arial"/>
          <w:color w:val="000000" w:themeColor="text1"/>
          <w:sz w:val="24"/>
        </w:rPr>
        <w:t xml:space="preserve">Menciona que </w:t>
      </w:r>
      <w:r w:rsidR="00753EB2" w:rsidRPr="00A46254">
        <w:rPr>
          <w:rFonts w:ascii="Arial" w:hAnsi="Arial" w:cs="Arial"/>
          <w:color w:val="000000" w:themeColor="text1"/>
          <w:sz w:val="24"/>
        </w:rPr>
        <w:t>la infancia es un tiempo único que hay que sostenerlo a rajatabla, y si la niñez no tiene tiempo de infancia, no hay futuro de humanidad. Hoy parece que e</w:t>
      </w:r>
      <w:r w:rsidR="00F8171C" w:rsidRPr="00A46254">
        <w:rPr>
          <w:rFonts w:ascii="Arial" w:hAnsi="Arial" w:cs="Arial"/>
          <w:color w:val="000000" w:themeColor="text1"/>
          <w:sz w:val="24"/>
        </w:rPr>
        <w:t xml:space="preserve">ducar es salir al mercado, ir a </w:t>
      </w:r>
      <w:r w:rsidR="00753EB2" w:rsidRPr="00A46254">
        <w:rPr>
          <w:rFonts w:ascii="Arial" w:hAnsi="Arial" w:cs="Arial"/>
          <w:color w:val="000000" w:themeColor="text1"/>
          <w:sz w:val="24"/>
        </w:rPr>
        <w:t>aprender a ganarse la vida.</w:t>
      </w:r>
    </w:p>
    <w:p w:rsidR="00A46254" w:rsidRPr="00A46254" w:rsidRDefault="00A46254" w:rsidP="00A46254">
      <w:pPr>
        <w:rPr>
          <w:rFonts w:ascii="Arial" w:hAnsi="Arial" w:cs="Arial"/>
          <w:color w:val="000000" w:themeColor="text1"/>
          <w:sz w:val="24"/>
        </w:rPr>
      </w:pPr>
      <w:r>
        <w:rPr>
          <w:rFonts w:ascii="Arial" w:hAnsi="Arial" w:cs="Arial"/>
          <w:color w:val="000000" w:themeColor="text1"/>
          <w:sz w:val="24"/>
        </w:rPr>
        <w:t xml:space="preserve">Me llamo la atención algo que dijo sobre la educación </w:t>
      </w:r>
    </w:p>
    <w:p w:rsidR="00A46254" w:rsidRPr="00A46254" w:rsidRDefault="00A46254" w:rsidP="00A46254">
      <w:pPr>
        <w:rPr>
          <w:rFonts w:ascii="Arial" w:hAnsi="Arial" w:cs="Arial"/>
          <w:color w:val="000000" w:themeColor="text1"/>
          <w:sz w:val="24"/>
        </w:rPr>
      </w:pPr>
      <w:r w:rsidRPr="00A46254">
        <w:rPr>
          <w:rFonts w:ascii="Arial" w:hAnsi="Arial" w:cs="Arial"/>
          <w:color w:val="000000" w:themeColor="text1"/>
          <w:sz w:val="24"/>
        </w:rPr>
        <w:t> “Hoy parece que educar es salir al mercado, ir a aprender a ganarse la vida. Yo tengo mucho dolor con eso, para mí es trágico, porque anuncia un fin de cierto humanismo. Yo creo que la educación no puede servir para eso, creo que puede reconstruirse en base a la idea de una educación para la vida y no tanto para ese mercado”</w:t>
      </w:r>
      <w:r>
        <w:rPr>
          <w:rFonts w:ascii="Arial" w:hAnsi="Arial" w:cs="Arial"/>
          <w:color w:val="000000" w:themeColor="text1"/>
          <w:sz w:val="24"/>
        </w:rPr>
        <w:t>.</w:t>
      </w:r>
      <w:bookmarkStart w:id="0" w:name="_GoBack"/>
      <w:bookmarkEnd w:id="0"/>
    </w:p>
    <w:sectPr w:rsidR="00A46254" w:rsidRPr="00A462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D4A56"/>
    <w:multiLevelType w:val="hybridMultilevel"/>
    <w:tmpl w:val="F6F82622"/>
    <w:lvl w:ilvl="0" w:tplc="B0BCAC2E">
      <w:numFmt w:val="bullet"/>
      <w:lvlText w:val="•"/>
      <w:lvlJc w:val="left"/>
      <w:pPr>
        <w:ind w:left="720" w:hanging="360"/>
      </w:pPr>
      <w:rPr>
        <w:rFonts w:ascii="Calibri" w:eastAsiaTheme="minorHAnsi" w:hAnsi="Calibri" w:cs="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B2"/>
    <w:rsid w:val="00753EB2"/>
    <w:rsid w:val="007B1CDC"/>
    <w:rsid w:val="009C17CA"/>
    <w:rsid w:val="00A406E3"/>
    <w:rsid w:val="00A46254"/>
    <w:rsid w:val="00F817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06E3"/>
    <w:pPr>
      <w:spacing w:after="160" w:line="254"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06E3"/>
    <w:pPr>
      <w:spacing w:after="160"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8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Garcia</dc:creator>
  <cp:lastModifiedBy>Juan Garcia</cp:lastModifiedBy>
  <cp:revision>1</cp:revision>
  <dcterms:created xsi:type="dcterms:W3CDTF">2020-06-04T16:37:00Z</dcterms:created>
  <dcterms:modified xsi:type="dcterms:W3CDTF">2020-06-04T22:21:00Z</dcterms:modified>
</cp:coreProperties>
</file>