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ESCUELA NORMAL DE EDUCACIÓN PREESCOLAR.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Ciclo Escolar 2019-2020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noProof/>
          <w:color w:val="000000"/>
          <w:kern w:val="24"/>
          <w:sz w:val="28"/>
          <w:szCs w:val="28"/>
        </w:rPr>
        <w:drawing>
          <wp:inline distT="0" distB="0" distL="0" distR="0" wp14:anchorId="07F65720" wp14:editId="10792BDD">
            <wp:extent cx="1775240" cy="131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890" cy="13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Relato bibliográfico: Ambientes de aprendizaje en la etapa de preescolar.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</w:p>
    <w:p w:rsid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Curso:</w:t>
      </w:r>
      <w:r w:rsidRPr="00236D14">
        <w:rPr>
          <w:rFonts w:eastAsia="+mn-ea"/>
          <w:color w:val="000000"/>
          <w:kern w:val="24"/>
          <w:sz w:val="28"/>
          <w:szCs w:val="28"/>
        </w:rPr>
        <w:t xml:space="preserve"> Observación y Análisis de Prácticas y Contextos Escolares.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</w:p>
    <w:p w:rsid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Maestra:</w:t>
      </w:r>
      <w:r w:rsidRPr="00236D14">
        <w:rPr>
          <w:rFonts w:eastAsia="+mn-ea"/>
          <w:color w:val="000000"/>
          <w:kern w:val="24"/>
          <w:sz w:val="28"/>
          <w:szCs w:val="28"/>
        </w:rPr>
        <w:t xml:space="preserve"> Oralia Gabriela Palmares Villarreal.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</w:p>
    <w:p w:rsidR="00850021" w:rsidRP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Alumnas: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  <w:r w:rsidRPr="00236D14">
        <w:rPr>
          <w:rFonts w:eastAsia="+mn-ea"/>
          <w:color w:val="000000"/>
          <w:kern w:val="24"/>
          <w:sz w:val="28"/>
          <w:szCs w:val="28"/>
        </w:rPr>
        <w:t xml:space="preserve">María Guadalupe Morales Mendoza. </w:t>
      </w: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N. L. 15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36D14">
        <w:rPr>
          <w:rFonts w:eastAsia="+mn-ea"/>
          <w:color w:val="000000"/>
          <w:kern w:val="24"/>
          <w:sz w:val="28"/>
          <w:szCs w:val="28"/>
        </w:rPr>
        <w:t xml:space="preserve">Samara Kereny Robledo Cortés. </w:t>
      </w: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N. L. 19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Unidad III: INTERACCIONES PEDAGÓGICAS Y DIDÁCTICAS: ENSEÑANZA Y APRENDIZAJE EN EL AULA</w:t>
      </w: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>Competencias.</w:t>
      </w:r>
    </w:p>
    <w:p w:rsidR="00850021" w:rsidRPr="00236D14" w:rsidRDefault="00850021" w:rsidP="00850021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</w:pPr>
      <w:r w:rsidRPr="00236D14">
        <w:rPr>
          <w:rFonts w:eastAsia="+mn-ea"/>
          <w:color w:val="000000"/>
          <w:kern w:val="24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850021" w:rsidRPr="00850021" w:rsidRDefault="00850021" w:rsidP="00850021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</w:pPr>
      <w:r w:rsidRPr="00236D14">
        <w:rPr>
          <w:rFonts w:eastAsia="+mn-ea"/>
          <w:color w:val="000000"/>
          <w:kern w:val="24"/>
          <w:sz w:val="28"/>
          <w:szCs w:val="28"/>
        </w:rPr>
        <w:t>Actúa de manera ética ante la diversidad de situaciones que se presentan en la práctica profesional.</w:t>
      </w:r>
    </w:p>
    <w:p w:rsid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</w:p>
    <w:p w:rsidR="00850021" w:rsidRPr="00236D14" w:rsidRDefault="00850021" w:rsidP="00850021">
      <w:pPr>
        <w:pStyle w:val="NormalWeb"/>
        <w:spacing w:before="0" w:beforeAutospacing="0" w:after="0" w:afterAutospacing="0"/>
        <w:jc w:val="center"/>
      </w:pPr>
    </w:p>
    <w:p w:rsidR="00850021" w:rsidRDefault="00850021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36D14">
        <w:rPr>
          <w:rFonts w:eastAsia="+mn-ea"/>
          <w:b/>
          <w:bCs/>
          <w:color w:val="000000"/>
          <w:kern w:val="24"/>
          <w:sz w:val="28"/>
          <w:szCs w:val="28"/>
        </w:rPr>
        <w:t xml:space="preserve">Saltillo, Coahuila                                                          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16 de junio del 2020</w:t>
      </w:r>
    </w:p>
    <w:p w:rsidR="00850021" w:rsidRPr="00850021" w:rsidRDefault="0082704B" w:rsidP="00850021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noProof/>
          <w:color w:val="000000"/>
          <w:kern w:val="2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B44A3" wp14:editId="4914DE6E">
                <wp:simplePos x="0" y="0"/>
                <wp:positionH relativeFrom="margin">
                  <wp:align>center</wp:align>
                </wp:positionH>
                <wp:positionV relativeFrom="paragraph">
                  <wp:posOffset>-61595</wp:posOffset>
                </wp:positionV>
                <wp:extent cx="3676650" cy="45719"/>
                <wp:effectExtent l="0" t="0" r="19050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5719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43610" id="Rectángulo 3" o:spid="_x0000_s1026" style="position:absolute;margin-left:0;margin-top:-4.85pt;width:289.5pt;height:3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" fillcolor="#903" strokecolor="#903" strokeweight="1pt">
                <w10:wrap anchorx="margin"/>
              </v:rect>
            </w:pict>
          </mc:Fallback>
        </mc:AlternateContent>
      </w:r>
      <w:r w:rsidR="00850021" w:rsidRPr="00850021">
        <w:rPr>
          <w:rFonts w:eastAsia="+mn-ea"/>
          <w:b/>
          <w:bCs/>
          <w:color w:val="000000"/>
          <w:kern w:val="24"/>
          <w:sz w:val="32"/>
          <w:szCs w:val="32"/>
        </w:rPr>
        <w:t>Ambientes de aprendizaje en la etapa de preescolar.</w:t>
      </w:r>
    </w:p>
    <w:p w:rsidR="00850021" w:rsidRPr="00850021" w:rsidRDefault="0082704B" w:rsidP="00850021">
      <w:pPr>
        <w:pStyle w:val="NormalWeb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76200</wp:posOffset>
                </wp:positionV>
                <wp:extent cx="3676650" cy="45719"/>
                <wp:effectExtent l="0" t="0" r="19050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5719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85648" id="Rectángulo 2" o:spid="_x0000_s1026" style="position:absolute;margin-left:73.2pt;margin-top:6pt;width:289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" fillcolor="#903" strokecolor="#903" strokeweight="1pt"/>
            </w:pict>
          </mc:Fallback>
        </mc:AlternateContent>
      </w:r>
    </w:p>
    <w:p w:rsidR="00680DE0" w:rsidRDefault="0082704B">
      <w:r>
        <w:rPr>
          <w:rFonts w:eastAsia="+mn-ea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B44A3" wp14:editId="4914DE6E">
                <wp:simplePos x="0" y="0"/>
                <wp:positionH relativeFrom="column">
                  <wp:posOffset>-632460</wp:posOffset>
                </wp:positionH>
                <wp:positionV relativeFrom="paragraph">
                  <wp:posOffset>394335</wp:posOffset>
                </wp:positionV>
                <wp:extent cx="514350" cy="45719"/>
                <wp:effectExtent l="0" t="0" r="1905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19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385B0" id="Rectángulo 4" o:spid="_x0000_s1026" style="position:absolute;margin-left:-49.8pt;margin-top:31.05pt;width:40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" fillcolor="#903" strokecolor="#903" strokeweight="1pt"/>
            </w:pict>
          </mc:Fallback>
        </mc:AlternateContent>
      </w:r>
    </w:p>
    <w:p w:rsidR="0082704B" w:rsidRPr="0082704B" w:rsidRDefault="0082704B">
      <w:pPr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es-MX"/>
        </w:rPr>
      </w:pPr>
      <w:r w:rsidRPr="0082704B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es-MX"/>
        </w:rPr>
        <w:t>Palabras clave:</w:t>
      </w:r>
    </w:p>
    <w:p w:rsidR="0082704B" w:rsidRPr="009330B5" w:rsidRDefault="0082704B" w:rsidP="008270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990033"/>
          <w:sz w:val="24"/>
          <w:szCs w:val="24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Metodologías:</w:t>
      </w:r>
      <w:r w:rsidR="009330B5"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9330B5" w:rsidRPr="009330B5">
        <w:rPr>
          <w:rFonts w:ascii="Times New Roman" w:hAnsi="Times New Roman" w:cs="Times New Roman"/>
          <w:color w:val="000000" w:themeColor="text1"/>
          <w:sz w:val="24"/>
          <w:szCs w:val="24"/>
        </w:rPr>
        <w:t>Según Robert K.</w:t>
      </w:r>
      <w:r w:rsidR="009330B5" w:rsidRPr="009330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30B5" w:rsidRPr="009330B5">
        <w:rPr>
          <w:rFonts w:ascii="Times New Roman" w:hAnsi="Times New Roman" w:cs="Times New Roman"/>
          <w:color w:val="000000" w:themeColor="text1"/>
          <w:sz w:val="24"/>
          <w:szCs w:val="24"/>
        </w:rPr>
        <w:t>Yin (2002)</w:t>
      </w:r>
      <w:r w:rsidR="00933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metodología es una </w:t>
      </w:r>
      <w:r w:rsidR="00886BBD">
        <w:rPr>
          <w:rFonts w:ascii="Times New Roman" w:hAnsi="Times New Roman" w:cs="Times New Roman"/>
          <w:color w:val="000000" w:themeColor="text1"/>
          <w:sz w:val="24"/>
          <w:szCs w:val="24"/>
        </w:rPr>
        <w:t>herramienta o</w:t>
      </w:r>
      <w:r w:rsidR="00933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método de investigación que sirve para alcanzar los objetivos de un estudio</w:t>
      </w:r>
      <w:r w:rsidR="00886BBD">
        <w:rPr>
          <w:rFonts w:ascii="Times New Roman" w:hAnsi="Times New Roman" w:cs="Times New Roman"/>
          <w:color w:val="000000" w:themeColor="text1"/>
          <w:sz w:val="24"/>
          <w:szCs w:val="24"/>
        </w:rPr>
        <w:t>, es decir que consiste en orientar un estudio lógico de los métodos, el cual implica un análisis para fortalecer con coherencia los planteamientos y así producir un conocimiento relevante.</w:t>
      </w:r>
    </w:p>
    <w:p w:rsidR="0082704B" w:rsidRPr="009330B5" w:rsidRDefault="0082704B" w:rsidP="0082704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990033"/>
          <w:sz w:val="24"/>
          <w:szCs w:val="24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Ambiente de aprendizaje: </w:t>
      </w:r>
      <w:r w:rsidR="009330B5" w:rsidRPr="009330B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9330B5">
        <w:rPr>
          <w:rFonts w:ascii="Times New Roman" w:hAnsi="Times New Roman" w:cs="Times New Roman"/>
          <w:color w:val="000000"/>
          <w:sz w:val="24"/>
          <w:szCs w:val="24"/>
        </w:rPr>
        <w:t>acuerdo con Duarte (2003),</w:t>
      </w:r>
      <w:r w:rsidR="009330B5" w:rsidRPr="009330B5">
        <w:rPr>
          <w:rFonts w:ascii="Times New Roman" w:hAnsi="Times New Roman" w:cs="Times New Roman"/>
          <w:color w:val="000000"/>
          <w:sz w:val="24"/>
          <w:szCs w:val="24"/>
        </w:rPr>
        <w:t xml:space="preserve"> un ambiente de aprendizaje</w:t>
      </w:r>
      <w:r w:rsidRPr="009330B5">
        <w:rPr>
          <w:rFonts w:ascii="Times New Roman" w:hAnsi="Times New Roman" w:cs="Times New Roman"/>
          <w:color w:val="000000"/>
          <w:sz w:val="24"/>
          <w:szCs w:val="24"/>
        </w:rPr>
        <w:t xml:space="preserve"> puede definirse como </w:t>
      </w:r>
      <w:r w:rsidR="009330B5" w:rsidRPr="009330B5">
        <w:rPr>
          <w:rFonts w:ascii="Times New Roman" w:hAnsi="Times New Roman" w:cs="Times New Roman"/>
          <w:color w:val="000000"/>
          <w:sz w:val="24"/>
          <w:szCs w:val="24"/>
        </w:rPr>
        <w:t>una</w:t>
      </w:r>
      <w:r w:rsidRPr="009330B5">
        <w:rPr>
          <w:rFonts w:ascii="Times New Roman" w:hAnsi="Times New Roman" w:cs="Times New Roman"/>
          <w:color w:val="000000"/>
          <w:sz w:val="24"/>
          <w:szCs w:val="24"/>
        </w:rPr>
        <w:t xml:space="preserve"> atmósfera diseñada con el fin de garantizar factores que rodean el aprendizaje de los individuos que forman parte de él, a fin de influir en su desarrollo y comportamiento personal, además de posibilitar la satisfacción de sus propias necesidades</w:t>
      </w:r>
      <w:r w:rsidR="009330B5" w:rsidRPr="009330B5">
        <w:rPr>
          <w:rFonts w:ascii="Times New Roman" w:hAnsi="Times New Roman" w:cs="Times New Roman"/>
          <w:color w:val="000000"/>
          <w:sz w:val="24"/>
          <w:szCs w:val="24"/>
        </w:rPr>
        <w:t>, ya que e</w:t>
      </w:r>
      <w:r w:rsidR="009330B5" w:rsidRPr="009330B5">
        <w:rPr>
          <w:rFonts w:ascii="Times New Roman" w:hAnsi="Times New Roman" w:cs="Times New Roman"/>
          <w:color w:val="000000"/>
          <w:sz w:val="24"/>
          <w:szCs w:val="24"/>
        </w:rPr>
        <w:t>l ambiente abarca no solamente el espacio sino también las relaciones que se establecen en él, es decir, los aspectos inmateriales.</w:t>
      </w:r>
    </w:p>
    <w:p w:rsidR="0082704B" w:rsidRPr="009330B5" w:rsidRDefault="0082704B" w:rsidP="00886BB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Objetivos</w:t>
      </w:r>
      <w:r w:rsidR="00886BBD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de investigación: </w:t>
      </w:r>
      <w:r w:rsidR="00886BBD" w:rsidRPr="00886BBD">
        <w:rPr>
          <w:rFonts w:ascii="Times New Roman" w:hAnsi="Times New Roman" w:cs="Times New Roman"/>
          <w:color w:val="000000"/>
          <w:sz w:val="24"/>
          <w:szCs w:val="24"/>
        </w:rPr>
        <w:t>Según Arias (1998)</w:t>
      </w:r>
      <w:r w:rsidR="00886BBD">
        <w:rPr>
          <w:rFonts w:ascii="Times New Roman" w:hAnsi="Times New Roman" w:cs="Times New Roman"/>
          <w:color w:val="000000"/>
          <w:sz w:val="24"/>
          <w:szCs w:val="24"/>
        </w:rPr>
        <w:t xml:space="preserve"> y Tamayo (1994)</w:t>
      </w:r>
      <w:r w:rsidR="00886BBD" w:rsidRPr="00886BBD">
        <w:rPr>
          <w:rFonts w:ascii="Times New Roman" w:hAnsi="Times New Roman" w:cs="Times New Roman"/>
          <w:color w:val="000000"/>
          <w:sz w:val="24"/>
          <w:szCs w:val="24"/>
        </w:rPr>
        <w:t xml:space="preserve">, los objetivos de investigación son metas </w:t>
      </w:r>
      <w:r w:rsidR="00886BBD">
        <w:rPr>
          <w:rFonts w:ascii="Times New Roman" w:hAnsi="Times New Roman" w:cs="Times New Roman"/>
          <w:color w:val="000000"/>
          <w:sz w:val="24"/>
          <w:szCs w:val="24"/>
        </w:rPr>
        <w:t xml:space="preserve">de investigación que se trazan </w:t>
      </w:r>
      <w:r w:rsidR="00886BBD" w:rsidRPr="00886BBD">
        <w:rPr>
          <w:rFonts w:ascii="Times New Roman" w:hAnsi="Times New Roman" w:cs="Times New Roman"/>
          <w:color w:val="000000"/>
          <w:sz w:val="24"/>
          <w:szCs w:val="24"/>
        </w:rPr>
        <w:t>en relación con los aspectos que desea indagar y conocer. Estos expresan un resultado o producto de labor investigativ</w:t>
      </w:r>
      <w:r w:rsidR="00886BBD"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:rsidR="0082704B" w:rsidRPr="009330B5" w:rsidRDefault="0082704B" w:rsidP="00886BB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Innovaciones </w:t>
      </w:r>
      <w:r w:rsidR="00AB486A">
        <w:rPr>
          <w:rFonts w:ascii="Times New Roman" w:hAnsi="Times New Roman" w:cs="Times New Roman"/>
          <w:b/>
          <w:bCs/>
          <w:color w:val="990033"/>
          <w:sz w:val="28"/>
          <w:szCs w:val="28"/>
        </w:rPr>
        <w:t>educativas</w:t>
      </w: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:</w:t>
      </w:r>
      <w:r w:rsidR="00886BBD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AB486A">
        <w:rPr>
          <w:rFonts w:ascii="Times New Roman" w:hAnsi="Times New Roman" w:cs="Times New Roman"/>
          <w:color w:val="000000"/>
          <w:sz w:val="24"/>
          <w:szCs w:val="24"/>
        </w:rPr>
        <w:t xml:space="preserve">Las innovaciones educativas, </w:t>
      </w:r>
      <w:r w:rsidR="00886BBD" w:rsidRPr="00886BBD">
        <w:rPr>
          <w:rFonts w:ascii="Times New Roman" w:hAnsi="Times New Roman" w:cs="Times New Roman"/>
          <w:color w:val="000000"/>
          <w:sz w:val="24"/>
          <w:szCs w:val="24"/>
        </w:rPr>
        <w:t xml:space="preserve">según </w:t>
      </w:r>
      <w:proofErr w:type="spellStart"/>
      <w:r w:rsidR="00886BBD" w:rsidRPr="00886BBD">
        <w:rPr>
          <w:rFonts w:ascii="Times New Roman" w:hAnsi="Times New Roman" w:cs="Times New Roman"/>
          <w:color w:val="000000"/>
          <w:sz w:val="24"/>
          <w:szCs w:val="24"/>
        </w:rPr>
        <w:t>Zaltman</w:t>
      </w:r>
      <w:proofErr w:type="spellEnd"/>
      <w:r w:rsidR="00886BBD" w:rsidRPr="00886BBD">
        <w:rPr>
          <w:rFonts w:ascii="Times New Roman" w:hAnsi="Times New Roman" w:cs="Times New Roman"/>
          <w:color w:val="000000"/>
          <w:sz w:val="24"/>
          <w:szCs w:val="24"/>
        </w:rPr>
        <w:t xml:space="preserve"> (1973), </w:t>
      </w:r>
      <w:r w:rsidR="00AB486A">
        <w:rPr>
          <w:rFonts w:ascii="Times New Roman" w:hAnsi="Times New Roman" w:cs="Times New Roman"/>
          <w:color w:val="000000"/>
          <w:sz w:val="24"/>
          <w:szCs w:val="24"/>
        </w:rPr>
        <w:t>son invenciones dirigidas a un proceso creativo</w:t>
      </w:r>
      <w:r w:rsidR="00886BBD" w:rsidRPr="00886BBD">
        <w:rPr>
          <w:rFonts w:ascii="Times New Roman" w:hAnsi="Times New Roman" w:cs="Times New Roman"/>
          <w:color w:val="000000"/>
          <w:sz w:val="24"/>
          <w:szCs w:val="24"/>
        </w:rPr>
        <w:t xml:space="preserve"> por el cual dos o más conceptos existentes o entidades son combinados en una forma novedosa, para producir una configuración desconocida previamente</w:t>
      </w:r>
      <w:r w:rsidR="00AB486A">
        <w:rPr>
          <w:rFonts w:ascii="Times New Roman" w:hAnsi="Times New Roman" w:cs="Times New Roman"/>
          <w:color w:val="000000"/>
          <w:sz w:val="24"/>
          <w:szCs w:val="24"/>
        </w:rPr>
        <w:t xml:space="preserve">, sin embargo, los autores </w:t>
      </w:r>
      <w:r w:rsidR="00AB486A" w:rsidRPr="00AB486A">
        <w:rPr>
          <w:rFonts w:ascii="Times New Roman" w:hAnsi="Times New Roman" w:cs="Times New Roman"/>
          <w:color w:val="000000"/>
          <w:sz w:val="24"/>
          <w:szCs w:val="24"/>
        </w:rPr>
        <w:t xml:space="preserve">Havelock y </w:t>
      </w:r>
      <w:proofErr w:type="spellStart"/>
      <w:r w:rsidR="00AB486A" w:rsidRPr="00AB486A">
        <w:rPr>
          <w:rFonts w:ascii="Times New Roman" w:hAnsi="Times New Roman" w:cs="Times New Roman"/>
          <w:color w:val="000000"/>
          <w:sz w:val="24"/>
          <w:szCs w:val="24"/>
        </w:rPr>
        <w:t>Hubcrman</w:t>
      </w:r>
      <w:proofErr w:type="spellEnd"/>
      <w:r w:rsidR="00AB486A" w:rsidRPr="00AB486A">
        <w:rPr>
          <w:rFonts w:ascii="Times New Roman" w:hAnsi="Times New Roman" w:cs="Times New Roman"/>
          <w:color w:val="000000"/>
          <w:sz w:val="24"/>
          <w:szCs w:val="24"/>
        </w:rPr>
        <w:t xml:space="preserve"> (1980) consideran que la innovación educativa es el estudio de las estrategias o procesos de cambio</w:t>
      </w:r>
      <w:r w:rsidR="00AB4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04B" w:rsidRPr="009330B5" w:rsidRDefault="0082704B" w:rsidP="008270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Proyecto educativo:</w:t>
      </w:r>
      <w:r w:rsidR="00AB486A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AB486A">
        <w:rPr>
          <w:rFonts w:ascii="Times New Roman" w:hAnsi="Times New Roman" w:cs="Times New Roman"/>
          <w:color w:val="000000"/>
          <w:sz w:val="24"/>
          <w:szCs w:val="24"/>
        </w:rPr>
        <w:t>Marcos Benavente, denomina que u</w:t>
      </w:r>
      <w:r w:rsidR="00AB486A" w:rsidRPr="00AB486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B486A">
        <w:rPr>
          <w:rFonts w:ascii="Times New Roman" w:hAnsi="Times New Roman" w:cs="Times New Roman"/>
          <w:color w:val="000000"/>
          <w:sz w:val="24"/>
          <w:szCs w:val="24"/>
        </w:rPr>
        <w:t xml:space="preserve"> proyecto educativo es considerado como como una forma de organizar el aprendizaje, por otro lado, la Universidad Nacional Abierta (2007) se refiere a este como un proyecto social que está encaminado a resolver problemas propios del ámbito educativo.</w:t>
      </w:r>
    </w:p>
    <w:p w:rsidR="0082704B" w:rsidRPr="009330B5" w:rsidRDefault="0082704B" w:rsidP="00F63EA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Transformación pedagógica:</w:t>
      </w:r>
      <w:r w:rsidR="00F63EAB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F63EAB" w:rsidRPr="00F63EAB">
        <w:rPr>
          <w:rFonts w:ascii="Times New Roman" w:hAnsi="Times New Roman" w:cs="Times New Roman"/>
          <w:color w:val="000000"/>
          <w:sz w:val="24"/>
          <w:szCs w:val="24"/>
        </w:rPr>
        <w:t xml:space="preserve">Álvarez, Pérez y Suárez (2008) </w:t>
      </w:r>
      <w:r w:rsidR="00F63EAB">
        <w:rPr>
          <w:rFonts w:ascii="Times New Roman" w:hAnsi="Times New Roman" w:cs="Times New Roman"/>
          <w:color w:val="000000"/>
          <w:sz w:val="24"/>
          <w:szCs w:val="24"/>
        </w:rPr>
        <w:t>consideran que</w:t>
      </w:r>
      <w:r w:rsidR="00F63EAB" w:rsidRPr="00F63EAB">
        <w:rPr>
          <w:rFonts w:ascii="Times New Roman" w:hAnsi="Times New Roman" w:cs="Times New Roman"/>
          <w:color w:val="000000"/>
          <w:sz w:val="24"/>
          <w:szCs w:val="24"/>
        </w:rPr>
        <w:t xml:space="preserve"> la transformación pedagógica </w:t>
      </w:r>
      <w:r w:rsidR="00F63EAB">
        <w:rPr>
          <w:rFonts w:ascii="Times New Roman" w:hAnsi="Times New Roman" w:cs="Times New Roman"/>
          <w:color w:val="000000"/>
          <w:sz w:val="24"/>
          <w:szCs w:val="24"/>
        </w:rPr>
        <w:t>se basa en</w:t>
      </w:r>
      <w:r w:rsidR="00F63EAB" w:rsidRPr="00F63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EAB">
        <w:rPr>
          <w:rFonts w:ascii="Times New Roman" w:hAnsi="Times New Roman" w:cs="Times New Roman"/>
          <w:color w:val="000000"/>
          <w:sz w:val="24"/>
          <w:szCs w:val="24"/>
        </w:rPr>
        <w:t>una</w:t>
      </w:r>
      <w:r w:rsidR="00F63EAB" w:rsidRPr="00F63EAB">
        <w:rPr>
          <w:rFonts w:ascii="Times New Roman" w:hAnsi="Times New Roman" w:cs="Times New Roman"/>
          <w:color w:val="000000"/>
          <w:sz w:val="24"/>
          <w:szCs w:val="24"/>
        </w:rPr>
        <w:t xml:space="preserve"> concepción constructivista y social del aprendizaje que permite a los estudiantes aprender, poniendo en dialogo los conocimientos previos con los nuevos aprendizajes, con el objetivo de aplicar el conocimiento aprendido en la solución de situaciones concretas.</w:t>
      </w:r>
    </w:p>
    <w:p w:rsidR="0082704B" w:rsidRPr="009330B5" w:rsidRDefault="0082704B" w:rsidP="008270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Modelo educativo:</w:t>
      </w:r>
      <w:r w:rsidR="004A6545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arlos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 xml:space="preserve">unnermann 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ernheim, expone que un modelo educativo es</w:t>
      </w:r>
      <w:r w:rsidR="004A6545"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 xml:space="preserve"> concreción, en términos pedagógicos, de los paradigmas educativos</w:t>
      </w:r>
      <w:r w:rsidR="004A6545">
        <w:rPr>
          <w:rFonts w:ascii="Times New Roman" w:hAnsi="Times New Roman" w:cs="Times New Roman"/>
          <w:color w:val="000000"/>
          <w:sz w:val="24"/>
          <w:szCs w:val="24"/>
        </w:rPr>
        <w:t xml:space="preserve">, este 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debe estar sustentado en la historia, valores profesados, la visión, la misión, la filosofía, objetivos y finalidades de la institución.</w:t>
      </w:r>
      <w:r w:rsidR="004A6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704B" w:rsidRPr="009330B5" w:rsidRDefault="009330B5" w:rsidP="008270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lastRenderedPageBreak/>
        <w:t>Espacio educativo:</w:t>
      </w:r>
      <w:r w:rsidR="004A6545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Duarte (2003) señala que</w:t>
      </w:r>
      <w:r w:rsidR="003E0BC9">
        <w:rPr>
          <w:rFonts w:ascii="Times New Roman" w:hAnsi="Times New Roman" w:cs="Times New Roman"/>
          <w:color w:val="000000"/>
          <w:sz w:val="24"/>
          <w:szCs w:val="24"/>
        </w:rPr>
        <w:t xml:space="preserve"> un espacio educativo o 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 xml:space="preserve">ambiente escolar </w:t>
      </w:r>
      <w:r w:rsidR="003E0BC9">
        <w:rPr>
          <w:rFonts w:ascii="Times New Roman" w:hAnsi="Times New Roman" w:cs="Times New Roman"/>
          <w:color w:val="000000"/>
          <w:sz w:val="24"/>
          <w:szCs w:val="24"/>
        </w:rPr>
        <w:t>debe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 xml:space="preserve"> de ser diverso, debiendo trascender la idea de que todo aprendizaje se desarrolla entre las cuatro paredes del aula. Deberán ofrecerse escenarios distintos,</w:t>
      </w:r>
      <w:r w:rsidR="003E0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ya sean construidos o naturales</w:t>
      </w:r>
      <w:r w:rsidR="003E0B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6545" w:rsidRPr="004A6545">
        <w:rPr>
          <w:rFonts w:ascii="Times New Roman" w:hAnsi="Times New Roman" w:cs="Times New Roman"/>
          <w:color w:val="000000"/>
          <w:sz w:val="24"/>
          <w:szCs w:val="24"/>
        </w:rPr>
        <w:t>dependiendo de las tareas emprendidas y de los objetivos perseguidos.</w:t>
      </w:r>
    </w:p>
    <w:p w:rsidR="009330B5" w:rsidRPr="009330B5" w:rsidRDefault="009330B5" w:rsidP="003E0BC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Organización del espacio:</w:t>
      </w:r>
      <w:r w:rsidR="003E0BC9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3E0BC9" w:rsidRPr="003E0BC9">
        <w:rPr>
          <w:rFonts w:ascii="Times New Roman" w:hAnsi="Times New Roman" w:cs="Times New Roman"/>
          <w:color w:val="000000"/>
          <w:sz w:val="24"/>
          <w:szCs w:val="24"/>
        </w:rPr>
        <w:t>El espacio debe ser un elemento más de la actividad docente y, por tanto, es necesario estructurarlo y organizarlo adecuadamente</w:t>
      </w:r>
      <w:r w:rsidR="003E0BC9">
        <w:rPr>
          <w:rFonts w:ascii="Times New Roman" w:hAnsi="Times New Roman" w:cs="Times New Roman"/>
          <w:color w:val="000000"/>
          <w:sz w:val="24"/>
          <w:szCs w:val="24"/>
        </w:rPr>
        <w:t xml:space="preserve">, ya </w:t>
      </w:r>
      <w:r w:rsidR="003E0BC9" w:rsidRPr="003E0BC9">
        <w:rPr>
          <w:rFonts w:ascii="Times New Roman" w:hAnsi="Times New Roman" w:cs="Times New Roman"/>
          <w:color w:val="000000"/>
          <w:sz w:val="24"/>
          <w:szCs w:val="24"/>
        </w:rPr>
        <w:t>que el ambiente del centro y del aula constituye un instrumento muy valioso para el aprendizaje, y por eso ha de ser objeto de reflexión y de planificación para el maestro y la maestra</w:t>
      </w:r>
      <w:r w:rsidR="003E0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0BC9" w:rsidRPr="0000262F" w:rsidRDefault="009330B5" w:rsidP="000026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9330B5">
        <w:rPr>
          <w:rFonts w:ascii="Times New Roman" w:hAnsi="Times New Roman" w:cs="Times New Roman"/>
          <w:b/>
          <w:bCs/>
          <w:color w:val="990033"/>
          <w:sz w:val="28"/>
          <w:szCs w:val="28"/>
        </w:rPr>
        <w:t>Dimensiones educativas:</w:t>
      </w:r>
      <w:r w:rsidR="003E0BC9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  <w:r w:rsidR="003E0BC9" w:rsidRPr="003E0BC9">
        <w:rPr>
          <w:rFonts w:ascii="Times New Roman" w:hAnsi="Times New Roman" w:cs="Times New Roman"/>
          <w:color w:val="000000"/>
          <w:sz w:val="24"/>
          <w:szCs w:val="24"/>
        </w:rPr>
        <w:t>Estas se basan en 4 dimensiones</w:t>
      </w:r>
      <w:r w:rsidR="003E0B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262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E0BC9" w:rsidRPr="0000262F">
        <w:rPr>
          <w:rFonts w:ascii="Times New Roman" w:hAnsi="Times New Roman" w:cs="Times New Roman"/>
          <w:color w:val="000000"/>
          <w:sz w:val="24"/>
          <w:szCs w:val="24"/>
        </w:rPr>
        <w:t>as Aptitudes</w:t>
      </w:r>
      <w:r w:rsidR="0000262F">
        <w:rPr>
          <w:rFonts w:ascii="Times New Roman" w:hAnsi="Times New Roman" w:cs="Times New Roman"/>
          <w:color w:val="000000"/>
          <w:sz w:val="24"/>
          <w:szCs w:val="24"/>
        </w:rPr>
        <w:t>, el conocimiento, el carácter y el meta-aprendizaje.</w:t>
      </w:r>
    </w:p>
    <w:p w:rsidR="003E0BC9" w:rsidRPr="009330B5" w:rsidRDefault="003E0BC9" w:rsidP="003E0BC9">
      <w:pPr>
        <w:pStyle w:val="Prrafodelista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00262F" w:rsidRDefault="0000262F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00262F" w:rsidRDefault="0000262F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00262F" w:rsidRDefault="0000262F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00262F" w:rsidRDefault="0000262F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00262F" w:rsidRDefault="0000262F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00262F" w:rsidRDefault="0000262F" w:rsidP="009330B5">
      <w:pPr>
        <w:rPr>
          <w:rFonts w:ascii="Times New Roman" w:hAnsi="Times New Roman" w:cs="Times New Roman"/>
          <w:b/>
          <w:bCs/>
          <w:color w:val="990033"/>
        </w:rPr>
      </w:pPr>
      <w:bookmarkStart w:id="0" w:name="_GoBack"/>
      <w:bookmarkEnd w:id="0"/>
    </w:p>
    <w:p w:rsidR="009330B5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Default="009330B5" w:rsidP="009330B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eastAsia="+mn-ea"/>
          <w:noProof/>
          <w:color w:val="000000"/>
          <w:kern w:val="2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D8195" wp14:editId="27513F32">
                <wp:simplePos x="0" y="0"/>
                <wp:positionH relativeFrom="margin">
                  <wp:posOffset>2400300</wp:posOffset>
                </wp:positionH>
                <wp:positionV relativeFrom="paragraph">
                  <wp:posOffset>281305</wp:posOffset>
                </wp:positionV>
                <wp:extent cx="742950" cy="45719"/>
                <wp:effectExtent l="0" t="0" r="19050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5719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8B5BF" id="Rectángulo 6" o:spid="_x0000_s1026" style="position:absolute;margin-left:189pt;margin-top:22.15pt;width:58.5pt;height:3.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" fillcolor="#903" strokecolor="#903" strokeweight="1pt">
                <w10:wrap anchorx="margin"/>
              </v:rect>
            </w:pict>
          </mc:Fallback>
        </mc:AlternateContent>
      </w:r>
      <w:r>
        <w:rPr>
          <w:rFonts w:eastAsia="+mn-ea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C832F" wp14:editId="04C177A5">
                <wp:simplePos x="0" y="0"/>
                <wp:positionH relativeFrom="margin">
                  <wp:posOffset>2377440</wp:posOffset>
                </wp:positionH>
                <wp:positionV relativeFrom="paragraph">
                  <wp:posOffset>-71120</wp:posOffset>
                </wp:positionV>
                <wp:extent cx="742950" cy="45719"/>
                <wp:effectExtent l="0" t="0" r="19050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5719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C6ABB" id="Rectángulo 7" o:spid="_x0000_s1026" style="position:absolute;margin-left:187.2pt;margin-top:-5.6pt;width:58.5pt;height:3.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" fillcolor="#903" strokecolor="#903" strokeweight="1pt">
                <w10:wrap anchorx="margin"/>
              </v:rect>
            </w:pict>
          </mc:Fallback>
        </mc:AlternateContent>
      </w:r>
      <w:r w:rsidRPr="009330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Referencias.</w:t>
      </w:r>
    </w:p>
    <w:p w:rsidR="009330B5" w:rsidRPr="009330B5" w:rsidRDefault="009330B5" w:rsidP="009330B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9330B5" w:rsidRPr="00886BBD" w:rsidRDefault="009330B5" w:rsidP="009330B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30B5">
        <w:rPr>
          <w:color w:val="000000"/>
          <w:sz w:val="23"/>
          <w:szCs w:val="23"/>
        </w:rPr>
        <w:t xml:space="preserve">DUARTE, J. (2003). Ambientes de aprendizaje: una aproximación conceptual. </w:t>
      </w:r>
      <w:r w:rsidRPr="00886BBD">
        <w:rPr>
          <w:rFonts w:ascii="Times New Roman" w:hAnsi="Times New Roman" w:cs="Times New Roman"/>
          <w:color w:val="000000" w:themeColor="text1"/>
          <w:sz w:val="24"/>
          <w:szCs w:val="24"/>
        </w:rPr>
        <w:t>En: </w:t>
      </w:r>
      <w:r w:rsidRPr="00886BBD">
        <w:rPr>
          <w:rStyle w:val="nfasis"/>
          <w:rFonts w:ascii="Times New Roman" w:hAnsi="Times New Roman" w:cs="Times New Roman"/>
          <w:color w:val="000000" w:themeColor="text1"/>
          <w:sz w:val="24"/>
          <w:szCs w:val="24"/>
        </w:rPr>
        <w:t>Estudios Pedagógicos</w:t>
      </w:r>
      <w:r w:rsidRPr="00886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núm. 29, pp. 97-113. </w:t>
      </w:r>
    </w:p>
    <w:p w:rsidR="00886BBD" w:rsidRPr="00886BBD" w:rsidRDefault="009330B5" w:rsidP="00886BB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6BBD">
        <w:rPr>
          <w:rFonts w:ascii="Times New Roman" w:hAnsi="Times New Roman" w:cs="Times New Roman"/>
          <w:color w:val="000000" w:themeColor="text1"/>
          <w:sz w:val="24"/>
          <w:szCs w:val="24"/>
        </w:rPr>
        <w:t>ROBERT</w:t>
      </w:r>
      <w:r w:rsidR="00886BBD" w:rsidRPr="00886B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6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YIN (2002)</w:t>
      </w:r>
      <w:r w:rsidR="00886BBD" w:rsidRPr="00886BBD">
        <w:rPr>
          <w:rFonts w:ascii="Times New Roman" w:hAnsi="Times New Roman" w:cs="Times New Roman"/>
          <w:color w:val="000000" w:themeColor="text1"/>
          <w:sz w:val="24"/>
          <w:szCs w:val="24"/>
        </w:rPr>
        <w:t>. Metodología, capítulo III.</w:t>
      </w:r>
    </w:p>
    <w:p w:rsidR="00886BBD" w:rsidRPr="00886BBD" w:rsidRDefault="00886BBD" w:rsidP="00886BB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Arias, Fidias G.  (1998) </w:t>
      </w:r>
      <w:r w:rsidRPr="00886B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MX"/>
        </w:rPr>
        <w:t>Mitos y errores en la elaboración de Tesis y proyectos de investigación</w:t>
      </w:r>
      <w:r w:rsidRPr="0088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 Caracas: editorial Episteme, p. 37</w:t>
      </w:r>
    </w:p>
    <w:p w:rsidR="00886BBD" w:rsidRPr="00886BBD" w:rsidRDefault="00886BBD" w:rsidP="00886BB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Tamayo y Tamayo, M. (2012) </w:t>
      </w:r>
      <w:r w:rsidRPr="00886B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MX"/>
        </w:rPr>
        <w:t>El Proceso de la Investigación Científica</w:t>
      </w:r>
      <w:r w:rsidRPr="0088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 México: editorial Limusa, p. 141</w:t>
      </w:r>
    </w:p>
    <w:p w:rsidR="009330B5" w:rsidRPr="00AB486A" w:rsidRDefault="00AB486A" w:rsidP="009330B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48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HAVELOCK. K. y HUBERMAN. A. (1980). </w:t>
      </w:r>
      <w:r w:rsidRPr="00AB486A">
        <w:rPr>
          <w:rFonts w:ascii="Times New Roman" w:hAnsi="Times New Roman" w:cs="Times New Roman"/>
          <w:color w:val="000000" w:themeColor="text1"/>
          <w:sz w:val="24"/>
          <w:szCs w:val="24"/>
        </w:rPr>
        <w:t>Innovación y Problemas de la Educación. Ginebra: UNESCO/OIE</w:t>
      </w:r>
    </w:p>
    <w:p w:rsidR="00AB486A" w:rsidRPr="00AB486A" w:rsidRDefault="00AB486A" w:rsidP="009330B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B4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ZALTMAN. </w:t>
      </w:r>
      <w:r w:rsidRPr="00AB486A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Pr="00AB4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DUNCAN, R. y IIOLBEK. </w:t>
      </w:r>
      <w:r w:rsidRPr="00AB48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J. (1973). Innovations and Organizations. New York: J. Wiley &amp; Sons.</w:t>
      </w:r>
    </w:p>
    <w:p w:rsidR="00AB486A" w:rsidRPr="00F63EAB" w:rsidRDefault="00AB486A" w:rsidP="009330B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EAB">
        <w:rPr>
          <w:rFonts w:ascii="Times New Roman" w:hAnsi="Times New Roman" w:cs="Times New Roman"/>
          <w:color w:val="000000" w:themeColor="text1"/>
          <w:sz w:val="24"/>
          <w:szCs w:val="24"/>
        </w:rPr>
        <w:t>Universidad Nacional Abierta</w:t>
      </w:r>
      <w:r w:rsidR="00F63EAB" w:rsidRPr="00F63E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63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63EAB" w:rsidRPr="00F63EAB">
        <w:rPr>
          <w:rFonts w:ascii="Times New Roman" w:hAnsi="Times New Roman" w:cs="Times New Roman"/>
          <w:color w:val="000000" w:themeColor="text1"/>
          <w:sz w:val="24"/>
          <w:szCs w:val="24"/>
        </w:rPr>
        <w:t>2007). Fundamentos B</w:t>
      </w:r>
      <w:r w:rsidR="00F63EAB">
        <w:rPr>
          <w:rFonts w:ascii="Times New Roman" w:hAnsi="Times New Roman" w:cs="Times New Roman"/>
          <w:color w:val="000000" w:themeColor="text1"/>
          <w:sz w:val="24"/>
          <w:szCs w:val="24"/>
        </w:rPr>
        <w:t>ásicos de la Elaboración de Proyectos. Caracas.</w:t>
      </w:r>
    </w:p>
    <w:p w:rsidR="00F63EAB" w:rsidRDefault="00F63EAB" w:rsidP="009330B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AB">
        <w:rPr>
          <w:rFonts w:ascii="Times New Roman" w:hAnsi="Times New Roman" w:cs="Times New Roman"/>
          <w:color w:val="000000" w:themeColor="text1"/>
          <w:sz w:val="24"/>
          <w:szCs w:val="24"/>
        </w:rPr>
        <w:t>Álvarez, S., Pérez, A., &amp; Suárez, M. L. (2008). Hacia un enfoque de la educación por competencias. Principado de Asturias: Consejería de Educación y Ciencia.</w:t>
      </w:r>
    </w:p>
    <w:p w:rsidR="003E0BC9" w:rsidRPr="00F63EAB" w:rsidRDefault="003E0BC9" w:rsidP="009330B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C9">
        <w:rPr>
          <w:rFonts w:ascii="Times New Roman" w:hAnsi="Times New Roman" w:cs="Times New Roman"/>
          <w:color w:val="000000" w:themeColor="text1"/>
          <w:sz w:val="24"/>
          <w:szCs w:val="24"/>
        </w:rPr>
        <w:t>Duarte, J. (2003). Ambiente de aprendizaje. Una aproximación conceptual. Iberoamericana de Educación, 1-18.</w:t>
      </w:r>
    </w:p>
    <w:p w:rsidR="009330B5" w:rsidRPr="00F63EAB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Pr="00F63EAB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Pr="00F63EAB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p w:rsidR="009330B5" w:rsidRPr="00F63EAB" w:rsidRDefault="009330B5" w:rsidP="009330B5">
      <w:pPr>
        <w:rPr>
          <w:rFonts w:ascii="Times New Roman" w:hAnsi="Times New Roman" w:cs="Times New Roman"/>
          <w:b/>
          <w:bCs/>
          <w:color w:val="990033"/>
        </w:rPr>
      </w:pPr>
    </w:p>
    <w:sectPr w:rsidR="009330B5" w:rsidRPr="00F63EAB" w:rsidSect="00850021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42D"/>
    <w:multiLevelType w:val="hybridMultilevel"/>
    <w:tmpl w:val="1B7A5A3E"/>
    <w:lvl w:ilvl="0" w:tplc="8FB6C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59D"/>
    <w:multiLevelType w:val="hybridMultilevel"/>
    <w:tmpl w:val="26E0A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7EF9"/>
    <w:multiLevelType w:val="hybridMultilevel"/>
    <w:tmpl w:val="30E085F4"/>
    <w:lvl w:ilvl="0" w:tplc="6BF4E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401"/>
    <w:multiLevelType w:val="hybridMultilevel"/>
    <w:tmpl w:val="F79EF242"/>
    <w:lvl w:ilvl="0" w:tplc="6C7C2D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A41786"/>
    <w:multiLevelType w:val="multilevel"/>
    <w:tmpl w:val="2C92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21"/>
    <w:rsid w:val="0000262F"/>
    <w:rsid w:val="003E0BC9"/>
    <w:rsid w:val="004A6545"/>
    <w:rsid w:val="00680DE0"/>
    <w:rsid w:val="0082704B"/>
    <w:rsid w:val="00850021"/>
    <w:rsid w:val="00886BBD"/>
    <w:rsid w:val="009330B5"/>
    <w:rsid w:val="00AB486A"/>
    <w:rsid w:val="00F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6A78"/>
  <w15:chartTrackingRefBased/>
  <w15:docId w15:val="{01B4D888-F9EA-42B0-AF21-11792A30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2704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2704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330B5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86BBD"/>
  </w:style>
  <w:style w:type="character" w:styleId="Textoennegrita">
    <w:name w:val="Strong"/>
    <w:basedOn w:val="Fuentedeprrafopredeter"/>
    <w:uiPriority w:val="22"/>
    <w:qFormat/>
    <w:rsid w:val="003E0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Robledo</dc:creator>
  <cp:keywords/>
  <dc:description/>
  <cp:lastModifiedBy>Ricardo Robledo</cp:lastModifiedBy>
  <cp:revision>1</cp:revision>
  <dcterms:created xsi:type="dcterms:W3CDTF">2020-06-16T16:52:00Z</dcterms:created>
  <dcterms:modified xsi:type="dcterms:W3CDTF">2020-06-16T18:27:00Z</dcterms:modified>
</cp:coreProperties>
</file>