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2552"/>
        <w:gridCol w:w="2551"/>
        <w:gridCol w:w="2126"/>
        <w:gridCol w:w="284"/>
        <w:gridCol w:w="2551"/>
      </w:tblGrid>
      <w:tr w:rsidR="002F3166" w:rsidRPr="0020138C" w:rsidTr="00992E61">
        <w:trPr>
          <w:trHeight w:val="610"/>
          <w:jc w:val="center"/>
        </w:trPr>
        <w:tc>
          <w:tcPr>
            <w:tcW w:w="147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4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>RÚBRICA</w:t>
            </w:r>
            <w:r w:rsidRPr="00802750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4"/>
                <w:lang w:eastAsia="es-MX"/>
              </w:rPr>
              <w:t xml:space="preserve">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 xml:space="preserve">PARA EVALUAR </w:t>
            </w:r>
            <w:r w:rsidR="00CE50A2">
              <w:rPr>
                <w:b/>
                <w:color w:val="2E74B5" w:themeColor="accent1" w:themeShade="BF"/>
                <w:sz w:val="20"/>
                <w:szCs w:val="24"/>
              </w:rPr>
              <w:t xml:space="preserve">EL ARTÍCULO CIENTÍFICO DEL </w:t>
            </w:r>
            <w:r w:rsidRPr="00802750">
              <w:rPr>
                <w:b/>
                <w:color w:val="2E74B5" w:themeColor="accent1" w:themeShade="BF"/>
                <w:sz w:val="20"/>
                <w:szCs w:val="24"/>
              </w:rPr>
              <w:t>DIAGNÓSTICO SOBRE LA VIOLENCIA EN EL AULA DE PRÁCTICA</w:t>
            </w:r>
          </w:p>
        </w:tc>
      </w:tr>
      <w:tr w:rsidR="002F3166" w:rsidRPr="0020138C" w:rsidTr="00C965AA">
        <w:trPr>
          <w:trHeight w:val="1127"/>
          <w:jc w:val="center"/>
        </w:trPr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66" w:rsidRPr="0020138C" w:rsidRDefault="002F3166" w:rsidP="00B9765B">
            <w:pPr>
              <w:pStyle w:val="Sinespaciado"/>
              <w:pBdr>
                <w:left w:val="single" w:sz="4" w:space="4" w:color="auto"/>
                <w:right w:val="single" w:sz="4" w:space="4" w:color="auto"/>
              </w:pBdr>
              <w:rPr>
                <w:i/>
                <w:sz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lang w:eastAsia="es-MX"/>
              </w:rPr>
              <w:t xml:space="preserve"> </w:t>
            </w:r>
            <w:r w:rsidR="00B9765B">
              <w:rPr>
                <w:i/>
                <w:sz w:val="20"/>
              </w:rPr>
              <w:t>diseña</w:t>
            </w:r>
            <w:r w:rsidRPr="00802750">
              <w:rPr>
                <w:i/>
                <w:sz w:val="20"/>
              </w:rPr>
              <w:t xml:space="preserve"> instrumentos de recolección de datos pertinentes a la edad de los niños y a los referentes revisados, los aplica y sistematiza; usa información pertinente para identificar las formas en que se manifiesta la violencia en los jardines de niños y los contextos que la favorecen o que la previenen.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166" w:rsidRPr="0020138C" w:rsidRDefault="002F3166" w:rsidP="00D64E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802750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Problema:</w:t>
            </w:r>
            <w:r w:rsidRPr="00802750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la creciente presencia de la violencia en el ámbito escolar</w:t>
            </w:r>
            <w:r w:rsidR="00F94993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 xml:space="preserve"> que se manifiesta en diversas formas no solo de manera explícita a través de golpes, heridas, etc. </w:t>
            </w:r>
            <w:r w:rsidR="00D64E67">
              <w:rPr>
                <w:rFonts w:ascii="Calibri" w:eastAsia="Times New Roman" w:hAnsi="Calibri" w:cs="Times New Roman"/>
                <w:bCs/>
                <w:i/>
                <w:sz w:val="20"/>
                <w:lang w:eastAsia="es-MX"/>
              </w:rPr>
              <w:t>Está creciendo a consecuencia de la pandemia que actualmente aqueja a la población.</w:t>
            </w:r>
          </w:p>
        </w:tc>
      </w:tr>
      <w:tr w:rsidR="005D153E" w:rsidRPr="00802750" w:rsidTr="00C965AA">
        <w:trPr>
          <w:trHeight w:val="40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Referente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8F7949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Básico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preformal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8F7949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Regular (receptivo)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8F7949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Suficiente (resolutivo)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8F7949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Satisfactorio (autónomo)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8F7949" w:rsidP="008F7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Competente  (estratégico)</w:t>
            </w:r>
          </w:p>
        </w:tc>
      </w:tr>
      <w:tr w:rsidR="00D64E67" w:rsidRPr="0020138C" w:rsidTr="00C965AA">
        <w:trPr>
          <w:trHeight w:val="848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4E67" w:rsidRPr="0020138C" w:rsidRDefault="00D64E67" w:rsidP="00F27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Evidencia:</w:t>
            </w:r>
          </w:p>
          <w:p w:rsidR="00D64E67" w:rsidRPr="0020138C" w:rsidRDefault="00D64E67" w:rsidP="00F27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Instrumento de recolección de información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5AA" w:rsidRDefault="00C965AA" w:rsidP="00C965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C965AA" w:rsidRDefault="00C965AA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D64E67" w:rsidRDefault="005175AA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E</w:t>
            </w:r>
            <w:r w:rsidR="009D730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xist</w:t>
            </w:r>
            <w:r w:rsidR="00C965A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e vaguedad en la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aplicación </w:t>
            </w:r>
            <w:r w:rsidR="00C965A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de la teoría al diseñar los ítems para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la evaluación de los tipos de violencia, roles y estrategias</w:t>
            </w:r>
            <w:r w:rsidR="00C965A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 en un aula de preescolar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.</w:t>
            </w:r>
          </w:p>
          <w:p w:rsidR="005175AA" w:rsidRDefault="005175AA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5175AA" w:rsidRDefault="005175AA" w:rsidP="005175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Su diseño es el tradicional de un </w:t>
            </w:r>
            <w:r w:rsidR="00C965AA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cuestionario sin ningún tipo de adecuación de acuerdo a la edad de la muestra. </w:t>
            </w:r>
          </w:p>
          <w:p w:rsidR="005175AA" w:rsidRDefault="005175AA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5175AA" w:rsidRDefault="005175AA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9D730F" w:rsidRDefault="009D730F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9D730F" w:rsidRPr="0020138C" w:rsidRDefault="009D730F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40659" w:rsidRDefault="00F40659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F40659" w:rsidRDefault="00F40659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9D730F" w:rsidRDefault="00F40659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Los ítems que conforman el instrumento </w:t>
            </w:r>
            <w:r w:rsidR="009D730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prácticamente son trascritos de la teoría.</w:t>
            </w:r>
          </w:p>
          <w:p w:rsidR="009D730F" w:rsidRDefault="009D730F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5175AA" w:rsidRDefault="005175AA" w:rsidP="005175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Se percibe complejidad para que sea comprensible para niños de acuerdo al grado que cursan.</w:t>
            </w:r>
          </w:p>
          <w:p w:rsidR="005175AA" w:rsidRPr="0020138C" w:rsidRDefault="005175AA" w:rsidP="00EF045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5AA" w:rsidRDefault="00C965AA" w:rsidP="00C965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C965AA" w:rsidRDefault="00C965AA" w:rsidP="009D790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BF0626" w:rsidRDefault="00BF0626" w:rsidP="00BF06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Instrumento con los ítems suficientes para evaluar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tipos de violencia, roles y estrategias.</w:t>
            </w:r>
          </w:p>
          <w:p w:rsidR="00BF0626" w:rsidRDefault="00BF0626" w:rsidP="00BF062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BF0626" w:rsidRPr="0020138C" w:rsidRDefault="00BF0626" w:rsidP="00736A1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Hace uso de lenguaje </w:t>
            </w:r>
            <w:r w:rsidR="00736A1D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accesible al nivel de comprensión de los niños de preescolar.</w:t>
            </w:r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5AA" w:rsidRDefault="00C965AA" w:rsidP="00C965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D64E67" w:rsidRDefault="00D64E67" w:rsidP="005D153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736A1D" w:rsidRDefault="00736A1D" w:rsidP="00736A1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Contiene los ítems suficientes para evaluar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tipos de violencia, roles y estrategias.</w:t>
            </w:r>
          </w:p>
          <w:p w:rsidR="00736A1D" w:rsidRDefault="00736A1D" w:rsidP="005D153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736A1D" w:rsidRPr="0020138C" w:rsidRDefault="00736A1D" w:rsidP="005D153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Hace uso de ejemplos o situaciones que facilitan la comprensión a los niños.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965AA" w:rsidRDefault="00C965AA" w:rsidP="00C965A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>Toma como base el referente teórico propuesto en clase.</w:t>
            </w:r>
          </w:p>
          <w:p w:rsidR="00D64E67" w:rsidRDefault="00D64E67" w:rsidP="005D153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736A1D" w:rsidRDefault="00736A1D" w:rsidP="00736A1D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Contiene los ítems suficientes para evaluar 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tipos de violencia, roles y estrategias.</w:t>
            </w:r>
          </w:p>
          <w:p w:rsidR="00736A1D" w:rsidRDefault="00736A1D" w:rsidP="005D153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  <w:p w:rsidR="00736A1D" w:rsidRPr="0020138C" w:rsidRDefault="00736A1D" w:rsidP="005D153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  <w:t xml:space="preserve">Hace uso de lenguaje pictográfico como apoyo para facilitar la comprensión de los niños. </w:t>
            </w:r>
          </w:p>
        </w:tc>
      </w:tr>
      <w:tr w:rsidR="00802750" w:rsidRPr="0020138C" w:rsidTr="00C965A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4E67" w:rsidRDefault="00D64E67" w:rsidP="00F27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</w:p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Criterio: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802750" w:rsidRPr="0020138C" w:rsidTr="00C965AA">
        <w:trPr>
          <w:trHeight w:val="268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0A2" w:rsidRDefault="00C965AA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Parte del </w:t>
            </w:r>
            <w:r w:rsidR="00D64E67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referente teórico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 propuesto en clase</w:t>
            </w:r>
          </w:p>
          <w:p w:rsidR="00D64E67" w:rsidRDefault="00D64E67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D64E67" w:rsidRDefault="00D64E67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Evalúa tipos de violencia, roles y estrategias.</w:t>
            </w:r>
          </w:p>
          <w:p w:rsidR="00D64E67" w:rsidRDefault="00D64E67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</w:p>
          <w:p w:rsidR="00D64E67" w:rsidRPr="0020138C" w:rsidRDefault="00D64E67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 xml:space="preserve">Es comprensible para </w:t>
            </w:r>
            <w:r w:rsidR="005175AA">
              <w:rPr>
                <w:rFonts w:ascii="Calibri" w:eastAsia="Times New Roman" w:hAnsi="Calibri" w:cs="Times New Roman"/>
                <w:i/>
                <w:iCs/>
                <w:sz w:val="20"/>
                <w:lang w:eastAsia="es-MX"/>
              </w:rPr>
              <w:t>la población a la que se dirige (niños de edad preescolar).</w:t>
            </w:r>
            <w:bookmarkStart w:id="0" w:name="_GoBack"/>
            <w:bookmarkEnd w:id="0"/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lang w:eastAsia="es-MX"/>
              </w:rPr>
            </w:pPr>
          </w:p>
        </w:tc>
      </w:tr>
      <w:tr w:rsidR="005D153E" w:rsidRPr="00802750" w:rsidTr="00C965A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2F3166" w:rsidP="008F79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Ponderación: 1</w:t>
            </w:r>
            <w:r w:rsidR="008F7949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8F7949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8F7949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8F7949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8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8F7949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8F7949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10</w:t>
            </w:r>
          </w:p>
        </w:tc>
      </w:tr>
      <w:tr w:rsidR="002F3166" w:rsidRPr="0020138C" w:rsidTr="00C965AA">
        <w:trPr>
          <w:trHeight w:val="31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Evaluación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Logros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Nota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lang w:eastAsia="es-MX"/>
              </w:rPr>
              <w:t>Acciones para mejorar</w:t>
            </w:r>
          </w:p>
        </w:tc>
      </w:tr>
      <w:tr w:rsidR="00992E61" w:rsidRPr="0020138C" w:rsidTr="00C965AA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F3166" w:rsidRPr="0020138C" w:rsidRDefault="002F3166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Autoevaluación</w:t>
            </w:r>
            <w:r w:rsidR="0080275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166" w:rsidRPr="0020138C" w:rsidRDefault="002F3166" w:rsidP="00F27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802750" w:rsidRPr="0020138C" w:rsidTr="009D730F">
        <w:trPr>
          <w:trHeight w:val="18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2750" w:rsidRPr="0020138C" w:rsidRDefault="00802750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Coevaluación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750" w:rsidRPr="0020138C" w:rsidRDefault="00802750" w:rsidP="00F27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0064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750" w:rsidRPr="0020138C" w:rsidRDefault="00802750" w:rsidP="00F94993">
            <w:pPr>
              <w:jc w:val="center"/>
              <w:rPr>
                <w:i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</w:t>
            </w:r>
            <w:r w:rsidR="00F94993" w:rsidRPr="009051BA">
              <w:rPr>
                <w:i/>
                <w:sz w:val="20"/>
              </w:rPr>
              <w:t>.</w:t>
            </w:r>
          </w:p>
        </w:tc>
      </w:tr>
      <w:tr w:rsidR="00802750" w:rsidRPr="0020138C" w:rsidTr="009D730F">
        <w:trPr>
          <w:trHeight w:val="297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02750" w:rsidRPr="0020138C" w:rsidRDefault="00802750" w:rsidP="00F27B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Heteroevaluación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lang w:eastAsia="es-MX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750" w:rsidRPr="0020138C" w:rsidRDefault="00802750" w:rsidP="00F27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  <w:t> </w:t>
            </w:r>
          </w:p>
        </w:tc>
        <w:tc>
          <w:tcPr>
            <w:tcW w:w="100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750" w:rsidRPr="0020138C" w:rsidRDefault="00802750" w:rsidP="00F27B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MX"/>
              </w:rPr>
            </w:pPr>
          </w:p>
        </w:tc>
      </w:tr>
    </w:tbl>
    <w:p w:rsidR="002204CD" w:rsidRDefault="002204CD" w:rsidP="00802750">
      <w:pPr>
        <w:rPr>
          <w:b/>
        </w:rPr>
      </w:pPr>
    </w:p>
    <w:tbl>
      <w:tblPr>
        <w:tblW w:w="151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827"/>
        <w:gridCol w:w="2567"/>
        <w:gridCol w:w="2252"/>
        <w:gridCol w:w="2977"/>
        <w:gridCol w:w="2557"/>
      </w:tblGrid>
      <w:tr w:rsidR="0020138C" w:rsidRPr="0020138C" w:rsidTr="00166948">
        <w:trPr>
          <w:trHeight w:val="184"/>
          <w:jc w:val="center"/>
        </w:trPr>
        <w:tc>
          <w:tcPr>
            <w:tcW w:w="151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20138C" w:rsidRPr="00F94993" w:rsidRDefault="0020138C" w:rsidP="00F94993">
            <w:pPr>
              <w:pStyle w:val="Sinespaciado"/>
              <w:jc w:val="center"/>
              <w:rPr>
                <w:b/>
                <w:sz w:val="20"/>
                <w:szCs w:val="20"/>
              </w:rPr>
            </w:pPr>
            <w:r w:rsidRPr="00F94993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t>RÚBRICA</w:t>
            </w:r>
            <w:r w:rsidR="00F94993" w:rsidRPr="00F94993">
              <w:rPr>
                <w:rFonts w:ascii="Calibri" w:eastAsia="Times New Roman" w:hAnsi="Calibri" w:cs="Times New Roman"/>
                <w:b/>
                <w:bCs/>
                <w:color w:val="2E74B5" w:themeColor="accent1" w:themeShade="BF"/>
                <w:sz w:val="20"/>
                <w:szCs w:val="20"/>
                <w:lang w:eastAsia="es-MX"/>
              </w:rPr>
              <w:t xml:space="preserve"> </w:t>
            </w:r>
            <w:r w:rsidR="00802750" w:rsidRPr="00F94993">
              <w:rPr>
                <w:b/>
                <w:color w:val="2E74B5" w:themeColor="accent1" w:themeShade="BF"/>
                <w:sz w:val="20"/>
                <w:szCs w:val="20"/>
              </w:rPr>
              <w:t>PARA EVALUAR ERNSAYO REFLEXIVO</w:t>
            </w:r>
          </w:p>
        </w:tc>
      </w:tr>
      <w:tr w:rsidR="00166948" w:rsidRPr="0020138C" w:rsidTr="00166948">
        <w:trPr>
          <w:trHeight w:val="985"/>
          <w:jc w:val="center"/>
        </w:trPr>
        <w:tc>
          <w:tcPr>
            <w:tcW w:w="7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38C" w:rsidRPr="0020138C" w:rsidRDefault="0020138C" w:rsidP="002204CD">
            <w:pPr>
              <w:pStyle w:val="Sinespaciado"/>
              <w:pBdr>
                <w:left w:val="single" w:sz="4" w:space="4" w:color="auto"/>
                <w:right w:val="single" w:sz="4" w:space="4" w:color="auto"/>
              </w:pBdr>
              <w:rPr>
                <w:i/>
                <w:sz w:val="20"/>
                <w:szCs w:val="20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Competencia:</w:t>
            </w:r>
            <w:r w:rsidRPr="0020138C">
              <w:rPr>
                <w:rFonts w:ascii="Calibri" w:eastAsia="Times New Roman" w:hAnsi="Calibri" w:cs="Times New Roman"/>
                <w:color w:val="366092"/>
                <w:sz w:val="20"/>
                <w:szCs w:val="20"/>
                <w:lang w:eastAsia="es-MX"/>
              </w:rPr>
              <w:t xml:space="preserve"> </w:t>
            </w:r>
            <w:r w:rsidRPr="00F94993">
              <w:rPr>
                <w:i/>
                <w:sz w:val="20"/>
                <w:szCs w:val="20"/>
              </w:rPr>
              <w:t xml:space="preserve">usa instrumentos de recolección de datos pertinentes a la edad de los niños y a los referentes revisados, los aplica y sistematiza; usa información pertinente para identificar las formas en que se manifiesta la violencia en los jardines de niños y los contextos que la favorecen o que la previenen. </w:t>
            </w:r>
          </w:p>
        </w:tc>
        <w:tc>
          <w:tcPr>
            <w:tcW w:w="77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138C" w:rsidRPr="0020138C" w:rsidRDefault="0020138C" w:rsidP="002204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F94993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Problema:</w:t>
            </w:r>
            <w:r w:rsidRPr="00F94993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s-MX"/>
              </w:rPr>
              <w:t xml:space="preserve"> </w:t>
            </w:r>
            <w:r w:rsidR="00F94993" w:rsidRPr="00F94993">
              <w:rPr>
                <w:rFonts w:ascii="Calibri" w:eastAsia="Times New Roman" w:hAnsi="Calibri" w:cs="Times New Roman"/>
                <w:bCs/>
                <w:i/>
                <w:sz w:val="20"/>
                <w:szCs w:val="20"/>
                <w:lang w:eastAsia="es-MX"/>
              </w:rPr>
              <w:t>la creciente presencia de la violencia en el ámbito escolar que se manifiesta en diversas formas no solo de manera explícita a través de golpes, heridas, etc. Si no de manera implícita como cuartar la creatividad, libertad de expresión, permanecer sentados por horas, etc.</w:t>
            </w:r>
          </w:p>
        </w:tc>
      </w:tr>
      <w:tr w:rsidR="00166948" w:rsidRPr="0020138C" w:rsidTr="00166948">
        <w:trPr>
          <w:trHeight w:val="276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Referente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Preformal</w:t>
            </w:r>
            <w:proofErr w:type="spellEnd"/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Receptivo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Resolutivo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Autónomo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Estratégico</w:t>
            </w:r>
          </w:p>
        </w:tc>
      </w:tr>
      <w:tr w:rsidR="00166948" w:rsidRPr="0020138C" w:rsidTr="00166948">
        <w:trPr>
          <w:trHeight w:val="547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7FE4" w:rsidRPr="0020138C" w:rsidRDefault="00967FE4" w:rsidP="00201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Evidencia:</w:t>
            </w:r>
          </w:p>
          <w:p w:rsidR="00967FE4" w:rsidRPr="0020138C" w:rsidRDefault="00967FE4" w:rsidP="00201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>Ensayo</w:t>
            </w:r>
            <w:r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  <w:t xml:space="preserve"> Reflexivo</w:t>
            </w:r>
          </w:p>
        </w:tc>
        <w:tc>
          <w:tcPr>
            <w:tcW w:w="1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67FE4" w:rsidRPr="0020138C" w:rsidRDefault="00A9694A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  <w:t xml:space="preserve">Describe los resultados de la situación didáctica sin fundamento teórico sobre </w:t>
            </w:r>
            <w:r w:rsidRPr="009051BA">
              <w:rPr>
                <w:i/>
                <w:sz w:val="20"/>
              </w:rPr>
              <w:t>las interacciones que se manifiestan en el grupo y de los logros obtenidos en el aprendizaje emocional y social de los alumnos de educación preescolar; así como una propuesta de mejora de</w:t>
            </w:r>
            <w:r>
              <w:rPr>
                <w:i/>
                <w:sz w:val="20"/>
              </w:rPr>
              <w:t xml:space="preserve"> las situaciones de aprendizaje sin fundamento.</w:t>
            </w:r>
          </w:p>
        </w:tc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E61" w:rsidRDefault="00992E61" w:rsidP="00992E61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>
              <w:rPr>
                <w:i/>
                <w:sz w:val="20"/>
              </w:rPr>
              <w:t xml:space="preserve"> de las situaciones didácticas.</w:t>
            </w:r>
          </w:p>
          <w:p w:rsidR="00992E61" w:rsidRDefault="00992E61" w:rsidP="00992E61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Elabora explicaciones</w:t>
            </w:r>
            <w:r w:rsidRPr="009051BA">
              <w:rPr>
                <w:i/>
                <w:sz w:val="20"/>
              </w:rPr>
              <w:t xml:space="preserve"> utilizando </w:t>
            </w:r>
            <w:r>
              <w:rPr>
                <w:i/>
                <w:sz w:val="20"/>
              </w:rPr>
              <w:t>de manera asilada</w:t>
            </w:r>
            <w:r w:rsidRPr="009051BA">
              <w:rPr>
                <w:i/>
                <w:sz w:val="20"/>
              </w:rPr>
              <w:t xml:space="preserve"> referentes teóricos vistos en el curso y del P</w:t>
            </w:r>
            <w:r>
              <w:rPr>
                <w:i/>
                <w:sz w:val="20"/>
              </w:rPr>
              <w:t xml:space="preserve">rograma de Educación Preescolar, AC </w:t>
            </w:r>
            <w:r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>
              <w:rPr>
                <w:i/>
                <w:sz w:val="20"/>
              </w:rPr>
              <w:t>cional y social de los alumnos.</w:t>
            </w:r>
          </w:p>
          <w:p w:rsidR="00967FE4" w:rsidRPr="0020138C" w:rsidRDefault="00992E61" w:rsidP="00992E6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Pr="009051BA">
              <w:rPr>
                <w:i/>
                <w:sz w:val="20"/>
              </w:rPr>
              <w:t xml:space="preserve">una propuesta de mejora de las situaciones de </w:t>
            </w:r>
            <w:r>
              <w:rPr>
                <w:i/>
                <w:sz w:val="20"/>
              </w:rPr>
              <w:t>aprendizaje con base o en el logro de los aprendizajes esperados o sus competencias profesionales</w:t>
            </w:r>
          </w:p>
        </w:tc>
        <w:tc>
          <w:tcPr>
            <w:tcW w:w="2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0F6" w:rsidRDefault="00B160F6" w:rsidP="00B160F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>
              <w:rPr>
                <w:i/>
                <w:sz w:val="20"/>
              </w:rPr>
              <w:t xml:space="preserve"> de las situaciones didácticas.</w:t>
            </w:r>
          </w:p>
          <w:p w:rsidR="00B160F6" w:rsidRDefault="00B160F6" w:rsidP="00B160F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Elabora explicaciones</w:t>
            </w:r>
            <w:r w:rsidRPr="009051BA">
              <w:rPr>
                <w:i/>
                <w:sz w:val="20"/>
              </w:rPr>
              <w:t xml:space="preserve"> utilizando </w:t>
            </w:r>
            <w:r w:rsidR="00992E61">
              <w:rPr>
                <w:i/>
                <w:sz w:val="20"/>
              </w:rPr>
              <w:t xml:space="preserve">citas textuales de </w:t>
            </w:r>
            <w:r w:rsidRPr="009051BA">
              <w:rPr>
                <w:i/>
                <w:sz w:val="20"/>
              </w:rPr>
              <w:t>referentes teóricos vistos en el curso y del P</w:t>
            </w:r>
            <w:r>
              <w:rPr>
                <w:i/>
                <w:sz w:val="20"/>
              </w:rPr>
              <w:t xml:space="preserve">rograma de Educación Preescolar, AC </w:t>
            </w:r>
            <w:r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>
              <w:rPr>
                <w:i/>
                <w:sz w:val="20"/>
              </w:rPr>
              <w:t>cional y social de los alumnos.</w:t>
            </w:r>
          </w:p>
          <w:p w:rsidR="00967FE4" w:rsidRPr="0020138C" w:rsidRDefault="00B160F6" w:rsidP="00B160F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Pr="009051BA">
              <w:rPr>
                <w:i/>
                <w:sz w:val="20"/>
              </w:rPr>
              <w:t xml:space="preserve">una propuesta de mejora de las situaciones de </w:t>
            </w:r>
            <w:r>
              <w:rPr>
                <w:i/>
                <w:sz w:val="20"/>
              </w:rPr>
              <w:t>aprendizaje con base o en el logro de los aprendizajes esperados o sus competencias profesionales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51AC6" w:rsidRDefault="00451AC6" w:rsidP="00451AC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>
              <w:rPr>
                <w:i/>
                <w:sz w:val="20"/>
              </w:rPr>
              <w:t xml:space="preserve"> de las situaciones didácticas.</w:t>
            </w:r>
          </w:p>
          <w:p w:rsidR="00451AC6" w:rsidRDefault="00451AC6" w:rsidP="00451AC6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Elabora explicaciones</w:t>
            </w:r>
            <w:r w:rsidRPr="009051BA">
              <w:rPr>
                <w:i/>
                <w:sz w:val="20"/>
              </w:rPr>
              <w:t xml:space="preserve"> utilizando coherentemente los referentes teóricos vistos en el curso y del P</w:t>
            </w:r>
            <w:r w:rsidR="00353B59">
              <w:rPr>
                <w:i/>
                <w:sz w:val="20"/>
              </w:rPr>
              <w:t xml:space="preserve">rograma de Educación Preescolar, AC </w:t>
            </w:r>
            <w:r>
              <w:rPr>
                <w:i/>
                <w:sz w:val="20"/>
              </w:rPr>
              <w:t>(con citas textuales</w:t>
            </w:r>
            <w:r w:rsidR="00992E61">
              <w:rPr>
                <w:i/>
                <w:sz w:val="20"/>
              </w:rPr>
              <w:t xml:space="preserve"> </w:t>
            </w:r>
            <w:r w:rsidR="00992E61" w:rsidRPr="00802750">
              <w:rPr>
                <w:i/>
                <w:sz w:val="20"/>
              </w:rPr>
              <w:t xml:space="preserve">estableciendo una relación estrecha entre sus ideas </w:t>
            </w:r>
            <w:r w:rsidR="00992E61">
              <w:rPr>
                <w:i/>
                <w:sz w:val="20"/>
              </w:rPr>
              <w:t>de tal forma que apoyan su reflexión</w:t>
            </w:r>
            <w:r>
              <w:rPr>
                <w:i/>
                <w:sz w:val="20"/>
              </w:rPr>
              <w:t xml:space="preserve">) </w:t>
            </w:r>
            <w:r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 w:rsidR="00353B59">
              <w:rPr>
                <w:i/>
                <w:sz w:val="20"/>
              </w:rPr>
              <w:t>cional y social de los alumnos.</w:t>
            </w:r>
          </w:p>
          <w:p w:rsidR="00967FE4" w:rsidRPr="0020138C" w:rsidRDefault="00451AC6" w:rsidP="00353B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Pr="009051BA">
              <w:rPr>
                <w:i/>
                <w:sz w:val="20"/>
              </w:rPr>
              <w:t xml:space="preserve">una propuesta de mejora de las situaciones de aprendizaje </w:t>
            </w:r>
            <w:r w:rsidR="00B160F6">
              <w:rPr>
                <w:i/>
                <w:sz w:val="20"/>
              </w:rPr>
              <w:t>con base en su autoevaluación enfocada en el logro de los aprendizajes esperados y sus competencias profesionales.</w:t>
            </w:r>
          </w:p>
        </w:tc>
        <w:tc>
          <w:tcPr>
            <w:tcW w:w="2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2D06" w:rsidRDefault="00967FE4" w:rsidP="0020138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</w:t>
            </w:r>
            <w:r w:rsidR="00592D06">
              <w:rPr>
                <w:i/>
                <w:sz w:val="20"/>
              </w:rPr>
              <w:t xml:space="preserve"> de las situaciones didácticas.</w:t>
            </w:r>
          </w:p>
          <w:p w:rsidR="00592D06" w:rsidRDefault="00592D06" w:rsidP="0020138C">
            <w:pPr>
              <w:spacing w:after="0" w:line="240" w:lineRule="auto"/>
              <w:rPr>
                <w:i/>
                <w:sz w:val="20"/>
              </w:rPr>
            </w:pPr>
            <w:r>
              <w:rPr>
                <w:i/>
                <w:sz w:val="20"/>
              </w:rPr>
              <w:t>E</w:t>
            </w:r>
            <w:r w:rsidR="00967FE4" w:rsidRPr="009051BA">
              <w:rPr>
                <w:i/>
                <w:sz w:val="20"/>
              </w:rPr>
              <w:t xml:space="preserve">labora explicaciones y argumentos utilizando coherentemente los referentes teóricos vistos en el curso y del </w:t>
            </w:r>
            <w:r w:rsidR="00451AC6">
              <w:rPr>
                <w:i/>
                <w:sz w:val="20"/>
              </w:rPr>
              <w:t>Programa de Preescolar</w:t>
            </w:r>
            <w:r>
              <w:rPr>
                <w:i/>
                <w:sz w:val="20"/>
              </w:rPr>
              <w:t xml:space="preserve"> </w:t>
            </w:r>
            <w:r w:rsidR="00353B59">
              <w:rPr>
                <w:i/>
                <w:sz w:val="20"/>
              </w:rPr>
              <w:t xml:space="preserve">AC </w:t>
            </w:r>
            <w:r>
              <w:rPr>
                <w:i/>
                <w:sz w:val="20"/>
              </w:rPr>
              <w:t>(paráfrasis)</w:t>
            </w:r>
            <w:r w:rsidR="00451AC6">
              <w:rPr>
                <w:i/>
                <w:sz w:val="20"/>
              </w:rPr>
              <w:t xml:space="preserve"> </w:t>
            </w:r>
            <w:r w:rsidR="00967FE4" w:rsidRPr="009051BA">
              <w:rPr>
                <w:i/>
                <w:sz w:val="20"/>
              </w:rPr>
              <w:t>de las interacciones que se manifiestan en el grupo y de los logros obtenidos en el aprendizaje emo</w:t>
            </w:r>
            <w:r w:rsidR="00353B59">
              <w:rPr>
                <w:i/>
                <w:sz w:val="20"/>
              </w:rPr>
              <w:t>cional y social de los alumnos.</w:t>
            </w:r>
          </w:p>
          <w:p w:rsidR="00967FE4" w:rsidRPr="0020138C" w:rsidRDefault="00592D06" w:rsidP="00353B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 xml:space="preserve">Plantea </w:t>
            </w:r>
            <w:r w:rsidR="00967FE4" w:rsidRPr="009051BA">
              <w:rPr>
                <w:i/>
                <w:sz w:val="20"/>
              </w:rPr>
              <w:t xml:space="preserve">una propuesta de mejora de las situaciones de aprendizaje </w:t>
            </w:r>
            <w:r w:rsidR="00353B59">
              <w:rPr>
                <w:i/>
                <w:sz w:val="20"/>
              </w:rPr>
              <w:t>con base en su autoevaluación enfocada en el logro de los aprendizajes esperados y sus competencias profesionales.</w:t>
            </w:r>
          </w:p>
        </w:tc>
      </w:tr>
      <w:tr w:rsidR="00331073" w:rsidRPr="0020138C" w:rsidTr="00166948">
        <w:trPr>
          <w:trHeight w:val="300"/>
          <w:jc w:val="center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Criterio: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331073" w:rsidRPr="0020138C" w:rsidTr="00166948">
        <w:trPr>
          <w:trHeight w:val="2685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8C" w:rsidRPr="0020138C" w:rsidRDefault="009051BA" w:rsidP="00353B5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sz w:val="20"/>
                <w:szCs w:val="20"/>
                <w:lang w:eastAsia="es-MX"/>
              </w:rPr>
            </w:pPr>
            <w:r>
              <w:rPr>
                <w:i/>
                <w:sz w:val="20"/>
              </w:rPr>
              <w:t>P</w:t>
            </w:r>
            <w:r w:rsidRPr="009051BA">
              <w:rPr>
                <w:i/>
                <w:sz w:val="20"/>
              </w:rPr>
              <w:t>resenta la valoración de los procesos y resultados de las situaciones didácticas; elabora explicaciones y argumentos utilizando coherentemente los referentes teóricos vistos en el curso y del Programa de Educación Preescolar 2011, de las interacciones que se manifiestan en el grupo y de los logros obtenidos en el aprendizaje emocional y social de los alumnos de educación preescolar; así como una propuesta de mejora de</w:t>
            </w:r>
            <w:r w:rsidR="00353B59">
              <w:rPr>
                <w:i/>
                <w:sz w:val="20"/>
              </w:rPr>
              <w:t xml:space="preserve"> las situaciones de aprendizaje</w:t>
            </w:r>
          </w:p>
        </w:tc>
        <w:tc>
          <w:tcPr>
            <w:tcW w:w="1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eastAsia="es-MX"/>
              </w:rPr>
            </w:pPr>
          </w:p>
        </w:tc>
      </w:tr>
      <w:tr w:rsidR="00166948" w:rsidRPr="0020138C" w:rsidTr="00166948">
        <w:trPr>
          <w:trHeight w:val="205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Ponderación: 100%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60%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70%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80%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100%</w:t>
            </w:r>
          </w:p>
        </w:tc>
      </w:tr>
      <w:tr w:rsidR="00166948" w:rsidRPr="0020138C" w:rsidTr="00166948">
        <w:trPr>
          <w:trHeight w:val="96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Evaluación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Logros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Nota</w:t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color w:val="366092"/>
                <w:sz w:val="20"/>
                <w:szCs w:val="20"/>
                <w:lang w:eastAsia="es-MX"/>
              </w:rPr>
              <w:t>Acciones para mejorar</w:t>
            </w:r>
          </w:p>
        </w:tc>
      </w:tr>
      <w:tr w:rsidR="00331073" w:rsidRPr="0020138C" w:rsidTr="00166948">
        <w:trPr>
          <w:trHeight w:val="289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0138C" w:rsidRPr="0020138C" w:rsidRDefault="0020138C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Autoevaluación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38C" w:rsidRPr="0020138C" w:rsidRDefault="0020138C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66948" w:rsidRPr="0020138C" w:rsidTr="00166948">
        <w:trPr>
          <w:trHeight w:val="136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51BA" w:rsidRPr="0020138C" w:rsidRDefault="009051BA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t>Coevaluación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20138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35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9051BA">
              <w:rPr>
                <w:i/>
                <w:sz w:val="20"/>
              </w:rPr>
              <w:t xml:space="preserve">*Autoevaluación, coevaluación y </w:t>
            </w:r>
            <w:proofErr w:type="spellStart"/>
            <w:r w:rsidRPr="009051BA">
              <w:rPr>
                <w:i/>
                <w:sz w:val="20"/>
              </w:rPr>
              <w:t>heteroevaluación</w:t>
            </w:r>
            <w:proofErr w:type="spellEnd"/>
            <w:r w:rsidRPr="009051BA">
              <w:rPr>
                <w:i/>
                <w:sz w:val="20"/>
              </w:rPr>
              <w:t xml:space="preserve"> se plasmaran en la plataforma de escuela en red.</w:t>
            </w:r>
          </w:p>
        </w:tc>
      </w:tr>
      <w:tr w:rsidR="00166948" w:rsidRPr="0020138C" w:rsidTr="00166948">
        <w:trPr>
          <w:trHeight w:val="77"/>
          <w:jc w:val="center"/>
        </w:trPr>
        <w:tc>
          <w:tcPr>
            <w:tcW w:w="2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051BA" w:rsidRPr="0020138C" w:rsidRDefault="009051BA" w:rsidP="002013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20138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es-MX"/>
              </w:rPr>
              <w:lastRenderedPageBreak/>
              <w:t>Heteroevaluación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3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51BA" w:rsidRPr="0020138C" w:rsidRDefault="009051BA" w:rsidP="002013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200E0" w:rsidRDefault="001200E0" w:rsidP="00166948"/>
    <w:sectPr w:rsidR="001200E0" w:rsidSect="007C434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CD" w:rsidRDefault="00DE55CD" w:rsidP="007C434A">
      <w:pPr>
        <w:spacing w:after="0" w:line="240" w:lineRule="auto"/>
      </w:pPr>
      <w:r>
        <w:separator/>
      </w:r>
    </w:p>
  </w:endnote>
  <w:endnote w:type="continuationSeparator" w:id="0">
    <w:p w:rsidR="00DE55CD" w:rsidRDefault="00DE55CD" w:rsidP="007C4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oberana Sans Light">
    <w:altName w:val="Soberana 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CD" w:rsidRDefault="00DE55CD" w:rsidP="007C434A">
      <w:pPr>
        <w:spacing w:after="0" w:line="240" w:lineRule="auto"/>
      </w:pPr>
      <w:r>
        <w:separator/>
      </w:r>
    </w:p>
  </w:footnote>
  <w:footnote w:type="continuationSeparator" w:id="0">
    <w:p w:rsidR="00DE55CD" w:rsidRDefault="00DE55CD" w:rsidP="007C4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34A" w:rsidRPr="007C434A" w:rsidRDefault="007C434A" w:rsidP="007C434A">
    <w:pPr>
      <w:pStyle w:val="Encabezado"/>
      <w:jc w:val="center"/>
      <w:rPr>
        <w:b/>
        <w:sz w:val="28"/>
      </w:rPr>
    </w:pPr>
    <w:r w:rsidRPr="007C434A">
      <w:rPr>
        <w:b/>
        <w:noProof/>
        <w:sz w:val="28"/>
        <w:lang w:eastAsia="es-MX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481DEE9" wp14:editId="0551323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32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C434A" w:rsidRPr="007C434A" w:rsidRDefault="007C434A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</w:pPr>
                              <w:r w:rsidRPr="007C434A">
                                <w:rPr>
                                  <w:caps/>
                                  <w:color w:val="FFFFFF" w:themeColor="background1"/>
                                  <w:sz w:val="32"/>
                                </w:rPr>
                                <w:t>escuela normal de educación preescolar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481DEE9" id="Rectángulo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32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C434A" w:rsidRPr="007C434A" w:rsidRDefault="007C434A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32"/>
                          </w:rPr>
                        </w:pPr>
                        <w:r w:rsidRPr="007C434A">
                          <w:rPr>
                            <w:caps/>
                            <w:color w:val="FFFFFF" w:themeColor="background1"/>
                            <w:sz w:val="32"/>
                          </w:rPr>
                          <w:t>escuela normal de educación preescolar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Pr="007C434A">
      <w:rPr>
        <w:b/>
        <w:sz w:val="28"/>
      </w:rPr>
      <w:t>Curso Optativo: Prevención de la Violencia en Preescolar</w:t>
    </w:r>
  </w:p>
  <w:p w:rsidR="007C434A" w:rsidRDefault="007C434A" w:rsidP="007C434A">
    <w:pPr>
      <w:pStyle w:val="Encabezado"/>
      <w:jc w:val="center"/>
      <w:rPr>
        <w:sz w:val="28"/>
      </w:rPr>
    </w:pPr>
    <w:r w:rsidRPr="007C434A">
      <w:rPr>
        <w:sz w:val="28"/>
      </w:rPr>
      <w:t xml:space="preserve">Docente: Martha Gabriela </w:t>
    </w:r>
    <w:proofErr w:type="spellStart"/>
    <w:r w:rsidRPr="007C434A">
      <w:rPr>
        <w:sz w:val="28"/>
      </w:rPr>
      <w:t>Avila</w:t>
    </w:r>
    <w:proofErr w:type="spellEnd"/>
    <w:r w:rsidRPr="007C434A">
      <w:rPr>
        <w:sz w:val="28"/>
      </w:rPr>
      <w:t xml:space="preserve"> Camacho</w:t>
    </w:r>
  </w:p>
  <w:p w:rsidR="002F3166" w:rsidRPr="007C434A" w:rsidRDefault="002F3166" w:rsidP="002F3166">
    <w:pPr>
      <w:pStyle w:val="Sinespaci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34A"/>
    <w:rsid w:val="0005589A"/>
    <w:rsid w:val="00101964"/>
    <w:rsid w:val="001200E0"/>
    <w:rsid w:val="00166948"/>
    <w:rsid w:val="0020138C"/>
    <w:rsid w:val="002204CD"/>
    <w:rsid w:val="002B0181"/>
    <w:rsid w:val="002F3166"/>
    <w:rsid w:val="00331073"/>
    <w:rsid w:val="00353B59"/>
    <w:rsid w:val="003E09C7"/>
    <w:rsid w:val="00451AC6"/>
    <w:rsid w:val="005175AA"/>
    <w:rsid w:val="00592D06"/>
    <w:rsid w:val="005D153E"/>
    <w:rsid w:val="006C6918"/>
    <w:rsid w:val="00736A1D"/>
    <w:rsid w:val="007666D8"/>
    <w:rsid w:val="007C434A"/>
    <w:rsid w:val="00802750"/>
    <w:rsid w:val="00813721"/>
    <w:rsid w:val="008A1BC4"/>
    <w:rsid w:val="008F7949"/>
    <w:rsid w:val="009051BA"/>
    <w:rsid w:val="00967FE4"/>
    <w:rsid w:val="00992E61"/>
    <w:rsid w:val="009D730F"/>
    <w:rsid w:val="009D790A"/>
    <w:rsid w:val="00A615C2"/>
    <w:rsid w:val="00A9694A"/>
    <w:rsid w:val="00AC7C19"/>
    <w:rsid w:val="00B160F6"/>
    <w:rsid w:val="00B442F8"/>
    <w:rsid w:val="00B9765B"/>
    <w:rsid w:val="00BB18A3"/>
    <w:rsid w:val="00BF0626"/>
    <w:rsid w:val="00C1139F"/>
    <w:rsid w:val="00C640BF"/>
    <w:rsid w:val="00C965AA"/>
    <w:rsid w:val="00CE50A2"/>
    <w:rsid w:val="00D64E67"/>
    <w:rsid w:val="00DE55CD"/>
    <w:rsid w:val="00EF045C"/>
    <w:rsid w:val="00EF67CA"/>
    <w:rsid w:val="00F40659"/>
    <w:rsid w:val="00F9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CCBD3D"/>
  <w15:chartTrackingRefBased/>
  <w15:docId w15:val="{B9B721FE-0025-4873-8D76-7F9A0E686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434A"/>
  </w:style>
  <w:style w:type="paragraph" w:styleId="Piedepgina">
    <w:name w:val="footer"/>
    <w:basedOn w:val="Normal"/>
    <w:link w:val="PiedepginaCar"/>
    <w:uiPriority w:val="99"/>
    <w:unhideWhenUsed/>
    <w:rsid w:val="007C43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434A"/>
  </w:style>
  <w:style w:type="paragraph" w:styleId="Sinespaciado">
    <w:name w:val="No Spacing"/>
    <w:uiPriority w:val="1"/>
    <w:qFormat/>
    <w:rsid w:val="001200E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20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A5"/>
    <w:uiPriority w:val="99"/>
    <w:rsid w:val="0020138C"/>
    <w:rPr>
      <w:rFonts w:ascii="Soberana Sans Light" w:hAnsi="Soberana Sans Light" w:cs="Soberana Sans Light" w:hint="defaul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</Pages>
  <Words>999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normal de educación preescolar</vt:lpstr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normal de educación preescolar</dc:title>
  <dc:subject/>
  <dc:creator>ENEP</dc:creator>
  <cp:keywords/>
  <dc:description/>
  <cp:lastModifiedBy>Usuario de Windows</cp:lastModifiedBy>
  <cp:revision>7</cp:revision>
  <dcterms:created xsi:type="dcterms:W3CDTF">2020-11-29T17:17:00Z</dcterms:created>
  <dcterms:modified xsi:type="dcterms:W3CDTF">2020-12-01T02:25:00Z</dcterms:modified>
</cp:coreProperties>
</file>