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63" w:rsidRPr="00463BB5" w:rsidRDefault="00463BB5" w:rsidP="00F45863">
      <w:pPr>
        <w:jc w:val="center"/>
        <w:rPr>
          <w:rFonts w:ascii="Goudy Stout" w:hAnsi="Goudy Stout"/>
          <w:b/>
          <w:color w:val="FF000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63BB5">
        <w:rPr>
          <w:rFonts w:ascii="Goudy Stout" w:hAnsi="Goudy Stout"/>
          <w:b/>
          <w:noProof/>
          <w:color w:val="FF0000"/>
          <w:sz w:val="36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-486745</wp:posOffset>
                </wp:positionH>
                <wp:positionV relativeFrom="paragraph">
                  <wp:posOffset>-911326</wp:posOffset>
                </wp:positionV>
                <wp:extent cx="2276319" cy="1942891"/>
                <wp:effectExtent l="0" t="23813" r="43498" b="43497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76319" cy="1942891"/>
                        </a:xfrm>
                        <a:prstGeom prst="triangl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6903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" o:spid="_x0000_s1026" type="#_x0000_t5" style="position:absolute;margin-left:-38.35pt;margin-top:-71.75pt;width:179.25pt;height:15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" fillcolor="#27ced7 [3206]" strokecolor="white [3201]" strokeweight="1.5pt">
                <w10:wrap anchorx="page"/>
              </v:shape>
            </w:pict>
          </mc:Fallback>
        </mc:AlternateContent>
      </w:r>
      <w:r w:rsidRPr="00463BB5">
        <w:rPr>
          <w:rFonts w:ascii="Goudy Stout" w:hAnsi="Goudy Stout"/>
          <w:b/>
          <w:noProof/>
          <w:color w:val="FF0000"/>
          <w:sz w:val="36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5953973</wp:posOffset>
                </wp:positionH>
                <wp:positionV relativeFrom="paragraph">
                  <wp:posOffset>-705177</wp:posOffset>
                </wp:positionV>
                <wp:extent cx="1992573" cy="1616956"/>
                <wp:effectExtent l="0" t="21907" r="24447" b="43498"/>
                <wp:wrapNone/>
                <wp:docPr id="7" name="Triángulo isóscel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92573" cy="1616956"/>
                        </a:xfrm>
                        <a:prstGeom prst="triangle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6FB34" id="Triángulo isósceles 7" o:spid="_x0000_s1026" type="#_x0000_t5" style="position:absolute;margin-left:468.8pt;margin-top:-55.55pt;width:156.9pt;height:127.3pt;rotation:-90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" fillcolor="#42ba97 [3207]" strokecolor="#62a39f [3209]" strokeweight="1pt">
                <w10:wrap anchorx="page"/>
              </v:shape>
            </w:pict>
          </mc:Fallback>
        </mc:AlternateContent>
      </w:r>
      <w:r w:rsidR="00F45863" w:rsidRPr="00463BB5">
        <w:rPr>
          <w:rFonts w:ascii="Goudy Stout" w:hAnsi="Goudy Stout"/>
          <w:b/>
          <w:color w:val="FF0000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Estudio Del Mundo Natural</w:t>
      </w:r>
    </w:p>
    <w:p w:rsidR="00F45863" w:rsidRPr="004557A9" w:rsidRDefault="00F45863" w:rsidP="00F45863">
      <w:pPr>
        <w:jc w:val="center"/>
        <w:rPr>
          <w:rFonts w:ascii="Comic Sans MS" w:hAnsi="Comic Sans MS"/>
          <w:sz w:val="40"/>
          <w:szCs w:val="28"/>
        </w:rPr>
      </w:pPr>
      <w:r w:rsidRPr="004557A9">
        <w:rPr>
          <w:rFonts w:ascii="Comic Sans MS" w:hAnsi="Comic Sans MS"/>
          <w:sz w:val="40"/>
          <w:szCs w:val="28"/>
        </w:rPr>
        <w:t>Alumna: Sara Yamilet Gómez Hernández</w:t>
      </w:r>
    </w:p>
    <w:p w:rsidR="00F45863" w:rsidRPr="004557A9" w:rsidRDefault="00F45863" w:rsidP="00F45863">
      <w:pPr>
        <w:jc w:val="center"/>
        <w:rPr>
          <w:rFonts w:ascii="Comic Sans MS" w:hAnsi="Comic Sans MS"/>
          <w:sz w:val="40"/>
          <w:szCs w:val="28"/>
        </w:rPr>
      </w:pPr>
      <w:r w:rsidRPr="004557A9">
        <w:rPr>
          <w:rFonts w:ascii="Comic Sans MS" w:hAnsi="Comic Sans MS"/>
          <w:sz w:val="40"/>
          <w:szCs w:val="28"/>
        </w:rPr>
        <w:t>Maestra: Rosa Velia Del Rio Tijerina</w:t>
      </w:r>
    </w:p>
    <w:p w:rsidR="00F45863" w:rsidRPr="004557A9" w:rsidRDefault="00F45863" w:rsidP="00F45863">
      <w:pPr>
        <w:jc w:val="center"/>
        <w:rPr>
          <w:rFonts w:ascii="Comic Sans MS" w:hAnsi="Comic Sans MS"/>
          <w:color w:val="FF0000"/>
          <w:sz w:val="40"/>
          <w:szCs w:val="28"/>
        </w:rPr>
      </w:pPr>
      <w:r w:rsidRPr="004557A9">
        <w:rPr>
          <w:rFonts w:ascii="Comic Sans MS" w:hAnsi="Comic Sans MS"/>
          <w:color w:val="FF0000"/>
          <w:sz w:val="40"/>
          <w:szCs w:val="28"/>
        </w:rPr>
        <w:t>Actividad 4. Naturaleza de la Ciencia</w:t>
      </w:r>
    </w:p>
    <w:p w:rsidR="00F45863" w:rsidRDefault="004557A9" w:rsidP="00F45863">
      <w:pPr>
        <w:jc w:val="center"/>
        <w:rPr>
          <w:rFonts w:ascii="Comic Sans MS" w:hAnsi="Comic Sans MS"/>
          <w:sz w:val="36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586105</wp:posOffset>
            </wp:positionH>
            <wp:positionV relativeFrom="paragraph">
              <wp:posOffset>184870</wp:posOffset>
            </wp:positionV>
            <wp:extent cx="4145966" cy="2276418"/>
            <wp:effectExtent l="171450" t="171450" r="235585" b="219710"/>
            <wp:wrapNone/>
            <wp:docPr id="1" name="Imagen 1" descr="Ciencia y tecnología, ¿son una misma cos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encia y tecnología, ¿son una misma cosa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66" cy="2276418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7A9" w:rsidRDefault="004557A9" w:rsidP="00F45863">
      <w:pPr>
        <w:jc w:val="center"/>
        <w:rPr>
          <w:rFonts w:ascii="Comic Sans MS" w:hAnsi="Comic Sans MS"/>
          <w:sz w:val="36"/>
          <w:szCs w:val="28"/>
        </w:rPr>
      </w:pPr>
    </w:p>
    <w:p w:rsidR="004557A9" w:rsidRDefault="004557A9" w:rsidP="00F45863">
      <w:pPr>
        <w:jc w:val="center"/>
        <w:rPr>
          <w:rFonts w:ascii="Comic Sans MS" w:hAnsi="Comic Sans MS"/>
          <w:sz w:val="36"/>
          <w:szCs w:val="28"/>
        </w:rPr>
      </w:pPr>
    </w:p>
    <w:p w:rsidR="004557A9" w:rsidRDefault="004557A9" w:rsidP="00F45863">
      <w:pPr>
        <w:jc w:val="center"/>
        <w:rPr>
          <w:rFonts w:ascii="Comic Sans MS" w:hAnsi="Comic Sans MS"/>
          <w:sz w:val="36"/>
          <w:szCs w:val="28"/>
        </w:rPr>
      </w:pPr>
    </w:p>
    <w:p w:rsidR="004557A9" w:rsidRDefault="004557A9" w:rsidP="004557A9">
      <w:pPr>
        <w:rPr>
          <w:rFonts w:ascii="Comic Sans MS" w:hAnsi="Comic Sans MS"/>
          <w:sz w:val="36"/>
          <w:szCs w:val="28"/>
        </w:rPr>
      </w:pPr>
    </w:p>
    <w:p w:rsidR="004557A9" w:rsidRDefault="004557A9" w:rsidP="004557A9">
      <w:pPr>
        <w:rPr>
          <w:rFonts w:ascii="Comic Sans MS" w:hAnsi="Comic Sans MS"/>
          <w:sz w:val="36"/>
          <w:szCs w:val="28"/>
        </w:rPr>
      </w:pPr>
    </w:p>
    <w:p w:rsidR="004557A9" w:rsidRPr="00F45863" w:rsidRDefault="00F45863" w:rsidP="004557A9">
      <w:pPr>
        <w:jc w:val="center"/>
        <w:rPr>
          <w:rFonts w:ascii="Comic Sans MS" w:hAnsi="Comic Sans MS"/>
          <w:sz w:val="36"/>
          <w:szCs w:val="28"/>
        </w:rPr>
      </w:pPr>
      <w:r w:rsidRPr="00F45863">
        <w:rPr>
          <w:rFonts w:ascii="Comic Sans MS" w:hAnsi="Comic Sans MS"/>
          <w:sz w:val="36"/>
          <w:szCs w:val="28"/>
        </w:rPr>
        <w:t>Textos:</w:t>
      </w:r>
    </w:p>
    <w:p w:rsidR="00F45863" w:rsidRPr="004557A9" w:rsidRDefault="00F45863" w:rsidP="004557A9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557A9">
        <w:rPr>
          <w:rFonts w:ascii="Comic Sans MS" w:hAnsi="Comic Sans MS"/>
          <w:sz w:val="28"/>
          <w:szCs w:val="28"/>
        </w:rPr>
        <w:t>LA NATURALEZA DE LA CIENCIA Y LA TECNOLOGÍA EN LA FORMACIÓN DE PROFESORES DE PRIMARIA. EN TORNO A UNA MEJOR COMPRENSIÓN DESDE LA PERSPECTIVA DE GÉNERO</w:t>
      </w:r>
      <w:r w:rsidR="004557A9">
        <w:rPr>
          <w:rFonts w:ascii="Comic Sans MS" w:hAnsi="Comic Sans MS"/>
          <w:sz w:val="28"/>
          <w:szCs w:val="28"/>
        </w:rPr>
        <w:t xml:space="preserve">. </w:t>
      </w:r>
    </w:p>
    <w:p w:rsidR="00F45863" w:rsidRPr="004557A9" w:rsidRDefault="00F45863" w:rsidP="004557A9">
      <w:pPr>
        <w:pStyle w:val="Prrafodelist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4557A9">
        <w:rPr>
          <w:rFonts w:ascii="Comic Sans MS" w:hAnsi="Comic Sans MS"/>
          <w:sz w:val="28"/>
          <w:szCs w:val="28"/>
        </w:rPr>
        <w:t>CONTENIDOS DE NATURALEZA DE LA CIENCIA Y LA TECNOLOGÍA EN LOS NUEVOS CURRÍCULOS BÁSICOS DE EDUCACIÓN SECUNDARIA</w:t>
      </w:r>
      <w:r w:rsidR="004557A9"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4557A9" w:rsidRPr="004557A9" w:rsidRDefault="00463BB5" w:rsidP="00F45863">
      <w:pPr>
        <w:pStyle w:val="Prrafodelista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</w:pPr>
      <w:r>
        <w:rPr>
          <w:rFonts w:ascii="Comic Sans MS" w:eastAsia="Times New Roman" w:hAnsi="Comic Sans MS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-231140</wp:posOffset>
                </wp:positionH>
                <wp:positionV relativeFrom="paragraph">
                  <wp:posOffset>978222</wp:posOffset>
                </wp:positionV>
                <wp:extent cx="1610360" cy="1104900"/>
                <wp:effectExtent l="19050" t="19050" r="46990" b="19050"/>
                <wp:wrapNone/>
                <wp:docPr id="8" name="Triángulo isóscel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0360" cy="1104900"/>
                        </a:xfrm>
                        <a:prstGeom prst="triangle">
                          <a:avLst>
                            <a:gd name="adj" fmla="val 50848"/>
                          </a:avLst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BC19F" id="Triángulo isósceles 8" o:spid="_x0000_s1026" type="#_x0000_t5" style="position:absolute;margin-left:-18.2pt;margin-top:77.05pt;width:126.8pt;height:87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" adj="10983" fillcolor="#9f9" strokecolor="#62a39f [3209]" strokeweight="1pt">
                <w10:wrap anchorx="page"/>
              </v:shape>
            </w:pict>
          </mc:Fallback>
        </mc:AlternateContent>
      </w:r>
      <w:r>
        <w:rPr>
          <w:rFonts w:ascii="Comic Sans MS" w:eastAsia="Times New Roman" w:hAnsi="Comic Sans MS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188576</wp:posOffset>
                </wp:positionH>
                <wp:positionV relativeFrom="paragraph">
                  <wp:posOffset>978820</wp:posOffset>
                </wp:positionV>
                <wp:extent cx="1542197" cy="955344"/>
                <wp:effectExtent l="19050" t="19050" r="39370" b="16510"/>
                <wp:wrapNone/>
                <wp:docPr id="9" name="Triángulo isóscel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197" cy="955344"/>
                        </a:xfrm>
                        <a:prstGeom prst="triangle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BFD0A" id="Triángulo isósceles 9" o:spid="_x0000_s1026" type="#_x0000_t5" style="position:absolute;margin-left:14.85pt;margin-top:77.05pt;width:121.45pt;height:7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" fillcolor="#9f9" strokecolor="#62a39f [3209]" strokeweight="1pt"/>
            </w:pict>
          </mc:Fallback>
        </mc:AlternateContent>
      </w:r>
      <w:r>
        <w:rPr>
          <w:rFonts w:ascii="Comic Sans MS" w:eastAsia="Times New Roman" w:hAnsi="Comic Sans MS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1812603</wp:posOffset>
                </wp:positionH>
                <wp:positionV relativeFrom="paragraph">
                  <wp:posOffset>978829</wp:posOffset>
                </wp:positionV>
                <wp:extent cx="1624083" cy="1063625"/>
                <wp:effectExtent l="19050" t="19050" r="33655" b="22225"/>
                <wp:wrapNone/>
                <wp:docPr id="10" name="Triángulo isóscel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3" cy="1063625"/>
                        </a:xfrm>
                        <a:prstGeom prst="triangle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DAD7C" id="Triángulo isósceles 10" o:spid="_x0000_s1026" type="#_x0000_t5" style="position:absolute;margin-left:142.7pt;margin-top:77.05pt;width:127.9pt;height:8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" fillcolor="#9f9" strokecolor="#62a39f [3209]" strokeweight="1pt"/>
            </w:pict>
          </mc:Fallback>
        </mc:AlternateContent>
      </w:r>
      <w:r>
        <w:rPr>
          <w:rFonts w:ascii="Comic Sans MS" w:eastAsia="Times New Roman" w:hAnsi="Comic Sans MS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3518516</wp:posOffset>
                </wp:positionH>
                <wp:positionV relativeFrom="paragraph">
                  <wp:posOffset>922930</wp:posOffset>
                </wp:positionV>
                <wp:extent cx="1555844" cy="1119116"/>
                <wp:effectExtent l="19050" t="19050" r="44450" b="24130"/>
                <wp:wrapNone/>
                <wp:docPr id="11" name="Triángulo isóscel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4" cy="1119116"/>
                        </a:xfrm>
                        <a:prstGeom prst="triangle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AD63C" id="Triángulo isósceles 11" o:spid="_x0000_s1026" type="#_x0000_t5" style="position:absolute;margin-left:277.05pt;margin-top:72.65pt;width:122.5pt;height:8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" fillcolor="#9f9" strokecolor="#62a39f [3209]" strokeweight="1pt"/>
            </w:pict>
          </mc:Fallback>
        </mc:AlternateContent>
      </w:r>
      <w:r>
        <w:rPr>
          <w:rFonts w:ascii="Comic Sans MS" w:eastAsia="Times New Roman" w:hAnsi="Comic Sans MS" w:cs="Arial"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842010</wp:posOffset>
                </wp:positionV>
                <wp:extent cx="1596390" cy="1200150"/>
                <wp:effectExtent l="19050" t="19050" r="41910" b="19050"/>
                <wp:wrapNone/>
                <wp:docPr id="12" name="Triángulo isóscel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1200150"/>
                        </a:xfrm>
                        <a:prstGeom prst="triangle">
                          <a:avLst/>
                        </a:prstGeom>
                        <a:solidFill>
                          <a:srgbClr val="99FF99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7A887" id="Triángulo isósceles 12" o:spid="_x0000_s1026" type="#_x0000_t5" style="position:absolute;margin-left:74.5pt;margin-top:66.3pt;width:125.7pt;height:94.5pt;z-index:2516654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" fillcolor="#9f9" strokecolor="#62a39f [3209]" strokeweight="1pt">
                <w10:wrap anchorx="page"/>
              </v:shape>
            </w:pict>
          </mc:Fallback>
        </mc:AlternateContent>
      </w:r>
      <w:r w:rsidR="00F45863" w:rsidRP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>ENSEÑANZA DE LAS CIENCIAS, N</w:t>
      </w:r>
      <w:proofErr w:type="gramStart"/>
      <w:r w:rsidR="00F45863" w:rsidRP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>.º</w:t>
      </w:r>
      <w:proofErr w:type="gramEnd"/>
      <w:r w:rsid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 xml:space="preserve"> </w:t>
      </w:r>
      <w:r w:rsidR="00F45863" w:rsidRP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 xml:space="preserve"> EXTRAORDINARIO (2017): 3851-3857</w:t>
      </w:r>
      <w:r w:rsid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 xml:space="preserve"> </w:t>
      </w:r>
      <w:r w:rsidR="00F45863" w:rsidRP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>X CONGRESO INTERNACIONAL SOBRE INVESTIGACIÓN EN DIDÁCTICA</w:t>
      </w:r>
      <w:r w:rsidR="004557A9">
        <w:rPr>
          <w:rFonts w:ascii="Comic Sans MS" w:eastAsia="Times New Roman" w:hAnsi="Comic Sans MS" w:cs="Arial"/>
          <w:color w:val="000000"/>
          <w:sz w:val="28"/>
          <w:szCs w:val="28"/>
          <w:lang w:eastAsia="es-MX"/>
        </w:rPr>
        <w:t>.</w:t>
      </w:r>
    </w:p>
    <w:p w:rsidR="00F45863" w:rsidRPr="00F45863" w:rsidRDefault="00F45863" w:rsidP="004557A9">
      <w:pPr>
        <w:jc w:val="center"/>
        <w:rPr>
          <w:rFonts w:ascii="Arial Rounded MT Bold" w:hAnsi="Arial Rounded MT Bold"/>
          <w:color w:val="0070C0"/>
          <w:sz w:val="36"/>
        </w:rPr>
      </w:pPr>
      <w:r w:rsidRPr="00F45863">
        <w:rPr>
          <w:rFonts w:ascii="Arial Rounded MT Bold" w:hAnsi="Arial Rounded MT Bold"/>
          <w:color w:val="0070C0"/>
          <w:sz w:val="36"/>
        </w:rPr>
        <w:lastRenderedPageBreak/>
        <w:t>Propuestas para la enseñanza de la naturaleza de la ciencia y la tecnología</w:t>
      </w:r>
    </w:p>
    <w:p w:rsidR="005A2263" w:rsidRPr="00802FCF" w:rsidRDefault="00802FCF" w:rsidP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t xml:space="preserve">-A </w:t>
      </w:r>
      <w:r w:rsidR="005A2263" w:rsidRPr="00802FCF">
        <w:rPr>
          <w:rFonts w:ascii="Comic Sans MS" w:hAnsi="Comic Sans MS"/>
        </w:rPr>
        <w:t>través de secuencias de enseñanza-aprendizaje (</w:t>
      </w:r>
      <w:proofErr w:type="spellStart"/>
      <w:r w:rsidR="005A2263" w:rsidRPr="00802FCF">
        <w:rPr>
          <w:rFonts w:ascii="Comic Sans MS" w:hAnsi="Comic Sans MS"/>
        </w:rPr>
        <w:t>SEAs</w:t>
      </w:r>
      <w:proofErr w:type="spellEnd"/>
      <w:r w:rsidR="005A2263" w:rsidRPr="00802FCF">
        <w:rPr>
          <w:rFonts w:ascii="Comic Sans MS" w:hAnsi="Comic Sans MS"/>
        </w:rPr>
        <w:t xml:space="preserve">) que orienten cambios positivos de actitud. </w:t>
      </w:r>
    </w:p>
    <w:p w:rsidR="00243808" w:rsidRPr="00802FCF" w:rsidRDefault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t>-E</w:t>
      </w:r>
      <w:r w:rsidR="00243808" w:rsidRPr="00802FCF">
        <w:rPr>
          <w:rFonts w:ascii="Comic Sans MS" w:hAnsi="Comic Sans MS"/>
        </w:rPr>
        <w:t>l profesorado de educación primaria en formación debe conocer con mayor profundidad los contenidos que va a enseñar, así como estar bien informado sobre los aspectos positivos y negativos de los avances científicos y tecnológicos; reconocer sus concepciones y desarrollar las competencias necesarias para fomentar actitudes positivas en sus futuros alumnos.</w:t>
      </w:r>
    </w:p>
    <w:p w:rsidR="00243808" w:rsidRPr="00802FCF" w:rsidRDefault="00243808">
      <w:pPr>
        <w:ind w:left="-284"/>
        <w:rPr>
          <w:rFonts w:ascii="Comic Sans MS" w:hAnsi="Comic Sans MS"/>
        </w:rPr>
      </w:pPr>
      <w:r w:rsidRPr="00802FCF">
        <w:rPr>
          <w:rFonts w:ascii="Comic Sans MS" w:hAnsi="Comic Sans MS"/>
        </w:rPr>
        <w:t>-</w:t>
      </w:r>
      <w:r w:rsidR="00802FCF">
        <w:rPr>
          <w:rFonts w:ascii="Comic Sans MS" w:hAnsi="Comic Sans MS"/>
        </w:rPr>
        <w:t>Re</w:t>
      </w:r>
      <w:r w:rsidRPr="00802FCF">
        <w:rPr>
          <w:rFonts w:ascii="Comic Sans MS" w:hAnsi="Comic Sans MS"/>
        </w:rPr>
        <w:t>flexión sobre las prácticas docentes que se llevan a cabo, para tratar de mejorarlas, como un proceso constructivo donde el futuro profesorado sea capaz de construir conocimientos y reorientar sus actitudes respecto a la ciencia y a la tecnología de manera experiencial, reflexiva y situada</w:t>
      </w:r>
    </w:p>
    <w:p w:rsidR="00802FCF" w:rsidRDefault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243808" w:rsidRPr="00802FCF">
        <w:rPr>
          <w:rFonts w:ascii="Comic Sans MS" w:hAnsi="Comic Sans MS"/>
        </w:rPr>
        <w:t>Los/as profesores/as en formación deben saber y manejar adecuadamente los contenidos científicos y tecnológicos que van a enseñar, el conocimiento pedagógico de los contenidos, reconocer sus concepciones y desarrollar las competencias necesarias para fomentar actitudes positivas en sus futuros alumnos.</w:t>
      </w:r>
    </w:p>
    <w:p w:rsidR="00243808" w:rsidRPr="00802FCF" w:rsidRDefault="00243808">
      <w:pPr>
        <w:ind w:left="-284"/>
        <w:rPr>
          <w:rFonts w:ascii="Comic Sans MS" w:hAnsi="Comic Sans MS"/>
        </w:rPr>
      </w:pPr>
      <w:r w:rsidRPr="00802FCF">
        <w:rPr>
          <w:rFonts w:ascii="Comic Sans MS" w:hAnsi="Comic Sans MS"/>
        </w:rPr>
        <w:t xml:space="preserve"> -Esto les plantea a los docentes el desafío de diseñar estrategias didácticas, tarea en extremo difícil debido, entre otros factores, a deficiencias en la formación pedagógica y en el dominio de los contenidos ambientales</w:t>
      </w:r>
      <w:r w:rsidR="00802FCF">
        <w:rPr>
          <w:rFonts w:ascii="Comic Sans MS" w:hAnsi="Comic Sans MS"/>
        </w:rPr>
        <w:t>.</w:t>
      </w:r>
    </w:p>
    <w:p w:rsidR="00243808" w:rsidRPr="00802FCF" w:rsidRDefault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t>-I</w:t>
      </w:r>
      <w:r w:rsidR="00243808" w:rsidRPr="00802FCF">
        <w:rPr>
          <w:rFonts w:ascii="Comic Sans MS" w:hAnsi="Comic Sans MS"/>
        </w:rPr>
        <w:t>nclusión de actividades prácticas que faciliten el concebir a la ciencia como un proceso dinámico y en construcción relacionado con la realidad social y ambiental de nuestro país; presentación de los contenidos como inacabados y significativos para los alumnos.</w:t>
      </w:r>
    </w:p>
    <w:p w:rsidR="00221F54" w:rsidRPr="00802FCF" w:rsidRDefault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t>-F</w:t>
      </w:r>
      <w:r w:rsidR="00221F54" w:rsidRPr="00802FCF">
        <w:rPr>
          <w:rFonts w:ascii="Comic Sans MS" w:hAnsi="Comic Sans MS"/>
        </w:rPr>
        <w:t>orma de un taller, que incluyó secuencias de enseñanza-aprendizaje (</w:t>
      </w:r>
      <w:proofErr w:type="spellStart"/>
      <w:r w:rsidR="00221F54" w:rsidRPr="00802FCF">
        <w:rPr>
          <w:rFonts w:ascii="Comic Sans MS" w:hAnsi="Comic Sans MS"/>
        </w:rPr>
        <w:t>SEAs</w:t>
      </w:r>
      <w:proofErr w:type="spellEnd"/>
      <w:r w:rsidR="00221F54" w:rsidRPr="00802FCF">
        <w:rPr>
          <w:rFonts w:ascii="Comic Sans MS" w:hAnsi="Comic Sans MS"/>
        </w:rPr>
        <w:t>) con actividades de simulación y experiencias vivenciales.</w:t>
      </w:r>
    </w:p>
    <w:p w:rsidR="00221F54" w:rsidRPr="00802FCF" w:rsidRDefault="00221F54">
      <w:pPr>
        <w:ind w:left="-284"/>
        <w:rPr>
          <w:rFonts w:ascii="Comic Sans MS" w:hAnsi="Comic Sans MS"/>
        </w:rPr>
      </w:pPr>
      <w:r w:rsidRPr="00802FCF">
        <w:rPr>
          <w:rFonts w:ascii="Comic Sans MS" w:hAnsi="Comic Sans MS"/>
        </w:rPr>
        <w:t>-</w:t>
      </w:r>
      <w:r w:rsidR="00802FCF">
        <w:rPr>
          <w:rFonts w:ascii="Comic Sans MS" w:hAnsi="Comic Sans MS"/>
        </w:rPr>
        <w:t>Un in</w:t>
      </w:r>
      <w:r w:rsidRPr="00802FCF">
        <w:rPr>
          <w:rFonts w:ascii="Comic Sans MS" w:hAnsi="Comic Sans MS"/>
        </w:rPr>
        <w:t>strumento utilizado fue el Cuestionario de Opiniones sobre la Ciencia, la Tecnología y la Sociedad instrumento validado internacionalmente.</w:t>
      </w:r>
    </w:p>
    <w:p w:rsidR="00EE47B9" w:rsidRPr="00802FCF" w:rsidRDefault="00EE47B9">
      <w:pPr>
        <w:ind w:left="-284"/>
        <w:rPr>
          <w:rFonts w:ascii="Comic Sans MS" w:hAnsi="Comic Sans MS"/>
        </w:rPr>
      </w:pPr>
      <w:r w:rsidRPr="00802FCF">
        <w:rPr>
          <w:rFonts w:ascii="Comic Sans MS" w:hAnsi="Comic Sans MS"/>
        </w:rPr>
        <w:t xml:space="preserve">-Desde hace lustros muchos países desarrollan currículos escolares que incluyen </w:t>
      </w:r>
      <w:r w:rsidR="00802FCF">
        <w:rPr>
          <w:rFonts w:ascii="Comic Sans MS" w:hAnsi="Comic Sans MS"/>
        </w:rPr>
        <w:t xml:space="preserve">contenidos innovadores de NdCyT. </w:t>
      </w:r>
    </w:p>
    <w:p w:rsidR="00802FCF" w:rsidRDefault="00EE47B9">
      <w:pPr>
        <w:ind w:left="-284"/>
        <w:rPr>
          <w:rFonts w:ascii="Comic Sans MS" w:hAnsi="Comic Sans MS"/>
        </w:rPr>
      </w:pPr>
      <w:r w:rsidRPr="00802FCF">
        <w:rPr>
          <w:rFonts w:ascii="Comic Sans MS" w:hAnsi="Comic Sans MS"/>
        </w:rPr>
        <w:t>-La metodología aplicada es un análisis exhaustivo de contenidos al RD1105 para ident</w:t>
      </w:r>
      <w:r w:rsidR="00802FCF">
        <w:rPr>
          <w:rFonts w:ascii="Comic Sans MS" w:hAnsi="Comic Sans MS"/>
        </w:rPr>
        <w:t>ificar los contenidos de NdCyT</w:t>
      </w:r>
    </w:p>
    <w:p w:rsidR="00802FCF" w:rsidRDefault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-</w:t>
      </w:r>
      <w:r w:rsidR="00EE47B9" w:rsidRPr="00802FCF">
        <w:rPr>
          <w:rFonts w:ascii="Comic Sans MS" w:hAnsi="Comic Sans MS"/>
        </w:rPr>
        <w:t xml:space="preserve">El análisis tiene en cuenta la organización en distintos niveles y cursos de la ESO y bachillerato y, dentro de cada curso, en diversas asignaturas (biología, geología, física, química,...). </w:t>
      </w:r>
    </w:p>
    <w:p w:rsidR="00EE47B9" w:rsidRPr="00802FCF" w:rsidRDefault="00802FCF">
      <w:pPr>
        <w:ind w:left="-284"/>
        <w:rPr>
          <w:rFonts w:ascii="Comic Sans MS" w:hAnsi="Comic Sans MS"/>
        </w:rPr>
      </w:pPr>
      <w:r>
        <w:rPr>
          <w:rFonts w:ascii="Comic Sans MS" w:hAnsi="Comic Sans MS"/>
        </w:rPr>
        <w:t>-</w:t>
      </w:r>
      <w:r w:rsidR="00EE47B9" w:rsidRPr="00802FCF">
        <w:rPr>
          <w:rFonts w:ascii="Comic Sans MS" w:hAnsi="Comic Sans MS"/>
        </w:rPr>
        <w:t>El currículo básico publicado en el RD1105 se presenta organizado por asignaturas en tres partes: bloques de los contenidos, criterios de evaluación y estándares de aprendizaje evaluables, que concretan los criterios</w:t>
      </w:r>
      <w:r w:rsidR="004557A9">
        <w:rPr>
          <w:rFonts w:ascii="Comic Sans MS" w:hAnsi="Comic Sans MS"/>
        </w:rPr>
        <w:t>.</w:t>
      </w:r>
    </w:p>
    <w:p w:rsidR="00D57969" w:rsidRPr="00802FCF" w:rsidRDefault="00EE47B9" w:rsidP="00802FCF">
      <w:pPr>
        <w:ind w:left="-284"/>
        <w:rPr>
          <w:rFonts w:ascii="Comic Sans MS" w:hAnsi="Comic Sans MS"/>
        </w:rPr>
      </w:pPr>
      <w:r w:rsidRPr="00802FCF">
        <w:rPr>
          <w:rFonts w:ascii="Comic Sans MS" w:hAnsi="Comic Sans MS"/>
        </w:rPr>
        <w:t>-</w:t>
      </w:r>
      <w:r w:rsidR="00802FCF">
        <w:rPr>
          <w:rFonts w:ascii="Comic Sans MS" w:hAnsi="Comic Sans MS"/>
        </w:rPr>
        <w:t>Bl</w:t>
      </w:r>
      <w:r w:rsidR="00D57969" w:rsidRPr="00802FCF">
        <w:rPr>
          <w:rFonts w:ascii="Comic Sans MS" w:hAnsi="Comic Sans MS"/>
        </w:rPr>
        <w:t>oques de proyecto de investigación proponen que los estudiantes se impliquen en la realización de un proyecto de investigación científica, adaptado al nivel educativo y la asignatura.</w:t>
      </w:r>
    </w:p>
    <w:p w:rsidR="00BE251E" w:rsidRDefault="00802FCF" w:rsidP="00802FCF">
      <w:pPr>
        <w:spacing w:after="0" w:line="240" w:lineRule="auto"/>
        <w:ind w:left="-284"/>
        <w:rPr>
          <w:rFonts w:ascii="Comic Sans MS" w:hAnsi="Comic Sans MS"/>
        </w:rPr>
      </w:pPr>
      <w:r>
        <w:rPr>
          <w:rFonts w:ascii="Comic Sans MS" w:eastAsia="Times New Roman" w:hAnsi="Comic Sans MS" w:cs="Times New Roman"/>
          <w:color w:val="000000"/>
          <w:lang w:eastAsia="es-MX"/>
        </w:rPr>
        <w:t>-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La filosofía de Platón es la base de la sofisticada analogía de los tres mundos de Popper para CyT. El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mundo físico de los objetos ma</w:t>
      </w:r>
      <w:r>
        <w:rPr>
          <w:rFonts w:ascii="Comic Sans MS" w:eastAsia="Times New Roman" w:hAnsi="Comic Sans MS" w:cs="Times New Roman"/>
          <w:color w:val="000000"/>
          <w:lang w:eastAsia="es-MX"/>
        </w:rPr>
        <w:t>teriales es el primer mundo, mientras el segundo mundo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 es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el mundo del pensamiento humano (cognición y estados mentales), constituido por la actividad men</w:t>
      </w:r>
      <w:r>
        <w:rPr>
          <w:rFonts w:ascii="Comic Sans MS" w:eastAsia="Times New Roman" w:hAnsi="Comic Sans MS" w:cs="Times New Roman"/>
          <w:color w:val="000000"/>
          <w:lang w:eastAsia="es-MX"/>
        </w:rPr>
        <w:t>t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al sobre la percepción humana de M1, que crea nuevas entidades i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ndependientes y externas (ideas,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teorías, problemas, técnicas, argumentos, libros, etc.) que constituyen el Mundo 3 (M3), el mundo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del conocimiento. </w:t>
      </w:r>
    </w:p>
    <w:p w:rsidR="00802FCF" w:rsidRPr="00802FCF" w:rsidRDefault="00802FCF" w:rsidP="00802FCF">
      <w:pPr>
        <w:spacing w:after="0" w:line="240" w:lineRule="auto"/>
        <w:ind w:left="-284"/>
        <w:rPr>
          <w:rFonts w:ascii="Comic Sans MS" w:hAnsi="Comic Sans MS"/>
        </w:rPr>
      </w:pPr>
    </w:p>
    <w:p w:rsidR="00BE251E" w:rsidRPr="00802FCF" w:rsidRDefault="00802FCF" w:rsidP="00802FCF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  <w:r>
        <w:rPr>
          <w:rFonts w:ascii="Comic Sans MS" w:eastAsia="Times New Roman" w:hAnsi="Comic Sans MS" w:cs="Times New Roman"/>
          <w:color w:val="000000"/>
          <w:lang w:eastAsia="es-MX"/>
        </w:rPr>
        <w:t>-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La conceptualización alternativa para NdCyT basada en la analogía </w:t>
      </w:r>
      <w:r>
        <w:rPr>
          <w:rFonts w:ascii="Comic Sans MS" w:eastAsia="Times New Roman" w:hAnsi="Comic Sans MS" w:cs="Times New Roman"/>
          <w:color w:val="000000"/>
          <w:lang w:eastAsia="es-MX"/>
        </w:rPr>
        <w:t>de los tres mundos surge al con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siderar las interacciones mutuas entre los tres mundos a través de sus 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relaciones desarrolladas por la 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comunidad de prácticas científicas. Estas interacciones y relaciones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dan lugar a un conjunto de con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tenidos y estructuras complejas, multifacéticas y meta-cognitivas q</w:t>
      </w:r>
      <w:r>
        <w:rPr>
          <w:rFonts w:ascii="Comic Sans MS" w:eastAsia="Times New Roman" w:hAnsi="Comic Sans MS" w:cs="Times New Roman"/>
          <w:color w:val="000000"/>
          <w:lang w:eastAsia="es-MX"/>
        </w:rPr>
        <w:t>ue ofrecen las prácticas en CyT.</w:t>
      </w:r>
    </w:p>
    <w:p w:rsidR="00BE251E" w:rsidRPr="00802FCF" w:rsidRDefault="00BE251E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</w:p>
    <w:p w:rsidR="00BE251E" w:rsidRPr="00802FCF" w:rsidRDefault="00802FCF" w:rsidP="00802FCF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  <w:r>
        <w:rPr>
          <w:rFonts w:ascii="Comic Sans MS" w:eastAsia="Times New Roman" w:hAnsi="Comic Sans MS" w:cs="Times New Roman"/>
          <w:color w:val="000000"/>
          <w:lang w:eastAsia="es-MX"/>
        </w:rPr>
        <w:t>-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Las categorías de la NdCyT se desarrollan para la enseñanza de la </w:t>
      </w:r>
      <w:r>
        <w:rPr>
          <w:rFonts w:ascii="Comic Sans MS" w:eastAsia="Times New Roman" w:hAnsi="Comic Sans MS" w:cs="Times New Roman"/>
          <w:color w:val="000000"/>
          <w:lang w:eastAsia="es-MX"/>
        </w:rPr>
        <w:t>ciencia en la forma de una taxo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nomía integrada y global que clasifica los contenidos de NdCyT en cuatro grandes dimensiones (epistemología, definiciones de CyT, sociología interna y sociología externa de CyT); a su vez, cada una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de esas dimensiones se de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spliega en múltiples categorías más concretas y específicas en un desarrollo 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más amplio y estructurado. </w:t>
      </w:r>
    </w:p>
    <w:p w:rsidR="00BE251E" w:rsidRPr="00802FCF" w:rsidRDefault="00BE251E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</w:p>
    <w:p w:rsidR="00BE251E" w:rsidRPr="00802FCF" w:rsidRDefault="00802FCF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  <w:r>
        <w:rPr>
          <w:rFonts w:ascii="Comic Sans MS" w:eastAsia="Times New Roman" w:hAnsi="Comic Sans MS" w:cs="Times New Roman"/>
          <w:color w:val="000000"/>
          <w:lang w:eastAsia="es-MX"/>
        </w:rPr>
        <w:t>-I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nnovar los contenidos, obviamente, pero sobre todo innovar la pedagogía practicada</w:t>
      </w:r>
    </w:p>
    <w:p w:rsidR="00BE251E" w:rsidRPr="00802FCF" w:rsidRDefault="00BE251E" w:rsidP="00802FCF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  <w:proofErr w:type="gramStart"/>
      <w:r w:rsidRPr="00802FCF">
        <w:rPr>
          <w:rFonts w:ascii="Comic Sans MS" w:eastAsia="Times New Roman" w:hAnsi="Comic Sans MS" w:cs="Times New Roman"/>
          <w:color w:val="000000"/>
          <w:lang w:eastAsia="es-MX"/>
        </w:rPr>
        <w:t>en</w:t>
      </w:r>
      <w:proofErr w:type="gramEnd"/>
      <w:r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 las clases de ciencias, proscribiendo la memorización (incom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 xml:space="preserve">patible con “comprender” NdCyT)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y priorizando la persuasión, el convencimiento, el sentido y los valo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 xml:space="preserve">res que justifican aprender CyT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funcionalmente, es decir, 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 xml:space="preserve">para ser útil en la vida diaria. </w:t>
      </w:r>
    </w:p>
    <w:p w:rsidR="00BE251E" w:rsidRPr="00802FCF" w:rsidRDefault="00BE251E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</w:p>
    <w:p w:rsidR="00802FCF" w:rsidRPr="00802FCF" w:rsidRDefault="00F45863" w:rsidP="00802FCF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  <w:r>
        <w:rPr>
          <w:rFonts w:ascii="Comic Sans MS" w:eastAsia="Times New Roman" w:hAnsi="Comic Sans MS" w:cs="Times New Roman"/>
          <w:color w:val="000000"/>
          <w:lang w:eastAsia="es-MX"/>
        </w:rPr>
        <w:t>-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La visión de consenso para la enseñanza de NdCyT propone una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 xml:space="preserve"> lista reducida de rasgos de la </w:t>
      </w:r>
      <w:r w:rsidR="00BE251E" w:rsidRPr="00802FCF">
        <w:rPr>
          <w:rFonts w:ascii="Comic Sans MS" w:eastAsia="Times New Roman" w:hAnsi="Comic Sans MS" w:cs="Times New Roman"/>
          <w:color w:val="000000"/>
          <w:lang w:eastAsia="es-MX"/>
        </w:rPr>
        <w:t>CyT: empírica, cargada de teoría, inferencial, creativa, vacilante, inc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 xml:space="preserve">ierta, socialmente integrada, y no exclusivamente experimental </w:t>
      </w:r>
      <w:r w:rsidR="00802FCF" w:rsidRPr="00802FCF">
        <w:rPr>
          <w:rFonts w:ascii="Comic Sans MS" w:eastAsia="Times New Roman" w:hAnsi="Comic Sans MS" w:cs="Times New Roman"/>
          <w:color w:val="000000"/>
          <w:lang w:eastAsia="es-MX"/>
        </w:rPr>
        <w:t>conceptualizan la NdCyT en dos dimensiones: cognitivo-epistémica y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="00802FCF" w:rsidRPr="00802FCF">
        <w:rPr>
          <w:rFonts w:ascii="Comic Sans MS" w:eastAsia="Times New Roman" w:hAnsi="Comic Sans MS" w:cs="Times New Roman"/>
          <w:color w:val="000000"/>
          <w:lang w:eastAsia="es-MX"/>
        </w:rPr>
        <w:t>social-institucional. La primera incluye las categorías de prácticas científicas, objetivos y valores, méto</w:t>
      </w:r>
      <w:r w:rsidR="00802FCF">
        <w:rPr>
          <w:rFonts w:ascii="Comic Sans MS" w:eastAsia="Times New Roman" w:hAnsi="Comic Sans MS" w:cs="Times New Roman"/>
          <w:color w:val="000000"/>
          <w:lang w:eastAsia="es-MX"/>
        </w:rPr>
        <w:t>d</w:t>
      </w:r>
      <w:r w:rsidR="00802FCF" w:rsidRPr="00802FCF">
        <w:rPr>
          <w:rFonts w:ascii="Comic Sans MS" w:eastAsia="Times New Roman" w:hAnsi="Comic Sans MS" w:cs="Times New Roman"/>
          <w:color w:val="000000"/>
          <w:lang w:eastAsia="es-MX"/>
        </w:rPr>
        <w:t>os y normas metodológicas, y conocimiento científico. La segunda incluye actividades profesionales,</w:t>
      </w:r>
    </w:p>
    <w:p w:rsidR="00802FCF" w:rsidRPr="00802FCF" w:rsidRDefault="00802FCF" w:rsidP="00802FCF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  <w:proofErr w:type="spellStart"/>
      <w:proofErr w:type="gramStart"/>
      <w:r w:rsidRPr="00802FCF">
        <w:rPr>
          <w:rFonts w:ascii="Comic Sans MS" w:eastAsia="Times New Roman" w:hAnsi="Comic Sans MS" w:cs="Times New Roman"/>
          <w:color w:val="000000"/>
          <w:lang w:eastAsia="es-MX"/>
        </w:rPr>
        <w:lastRenderedPageBreak/>
        <w:t>ethos</w:t>
      </w:r>
      <w:proofErr w:type="spellEnd"/>
      <w:proofErr w:type="gramEnd"/>
      <w:r w:rsidRPr="00802FCF">
        <w:rPr>
          <w:rFonts w:ascii="Comic Sans MS" w:eastAsia="Times New Roman" w:hAnsi="Comic Sans MS" w:cs="Times New Roman"/>
          <w:color w:val="000000"/>
          <w:lang w:eastAsia="es-MX"/>
        </w:rPr>
        <w:t xml:space="preserve"> científico, certificación social, valores sociales y organizativos, políticas y aspectos financieros de</w:t>
      </w:r>
      <w:r>
        <w:rPr>
          <w:rFonts w:ascii="Comic Sans MS" w:eastAsia="Times New Roman" w:hAnsi="Comic Sans MS" w:cs="Times New Roman"/>
          <w:color w:val="000000"/>
          <w:lang w:eastAsia="es-MX"/>
        </w:rPr>
        <w:t xml:space="preserve"> </w:t>
      </w:r>
      <w:r w:rsidRPr="00802FCF">
        <w:rPr>
          <w:rFonts w:ascii="Comic Sans MS" w:eastAsia="Times New Roman" w:hAnsi="Comic Sans MS" w:cs="Times New Roman"/>
          <w:color w:val="000000"/>
          <w:lang w:eastAsia="es-MX"/>
        </w:rPr>
        <w:t>la ciencia </w:t>
      </w:r>
    </w:p>
    <w:p w:rsidR="00802FCF" w:rsidRPr="00802FCF" w:rsidRDefault="00802FCF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</w:p>
    <w:p w:rsidR="00802FCF" w:rsidRPr="00802FCF" w:rsidRDefault="00802FCF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</w:p>
    <w:p w:rsidR="00802FCF" w:rsidRPr="00802FCF" w:rsidRDefault="00802FCF" w:rsidP="00BE251E">
      <w:pPr>
        <w:spacing w:after="0" w:line="240" w:lineRule="auto"/>
        <w:ind w:left="-284"/>
        <w:rPr>
          <w:rFonts w:ascii="Comic Sans MS" w:eastAsia="Times New Roman" w:hAnsi="Comic Sans MS" w:cs="Times New Roman"/>
          <w:color w:val="000000"/>
          <w:lang w:eastAsia="es-MX"/>
        </w:rPr>
      </w:pPr>
    </w:p>
    <w:p w:rsidR="00BE251E" w:rsidRDefault="00BE251E"/>
    <w:sectPr w:rsidR="00BE2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43466"/>
    <w:multiLevelType w:val="hybridMultilevel"/>
    <w:tmpl w:val="F398A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712BF"/>
    <w:multiLevelType w:val="hybridMultilevel"/>
    <w:tmpl w:val="A13C14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12"/>
    <w:rsid w:val="00221F54"/>
    <w:rsid w:val="00243808"/>
    <w:rsid w:val="0039655A"/>
    <w:rsid w:val="004557A9"/>
    <w:rsid w:val="00463BB5"/>
    <w:rsid w:val="00512012"/>
    <w:rsid w:val="005A2263"/>
    <w:rsid w:val="00802FCF"/>
    <w:rsid w:val="00BE251E"/>
    <w:rsid w:val="00D57969"/>
    <w:rsid w:val="00EE47B9"/>
    <w:rsid w:val="00F4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A0092B-FFA6-4329-951F-25A4850C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9F0E5-1399-49ED-A8A9-2A661F7A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Alicia</dc:creator>
  <cp:keywords/>
  <dc:description/>
  <cp:lastModifiedBy>Dora Alicia</cp:lastModifiedBy>
  <cp:revision>1</cp:revision>
  <dcterms:created xsi:type="dcterms:W3CDTF">2020-10-28T18:11:00Z</dcterms:created>
  <dcterms:modified xsi:type="dcterms:W3CDTF">2020-10-28T23:52:00Z</dcterms:modified>
</cp:coreProperties>
</file>