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84" w:rsidRPr="004A4484" w:rsidRDefault="001A6B21" w:rsidP="004A448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631933</wp:posOffset>
                </wp:positionH>
                <wp:positionV relativeFrom="paragraph">
                  <wp:posOffset>5656648</wp:posOffset>
                </wp:positionV>
                <wp:extent cx="4309353" cy="252857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353" cy="2528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B21" w:rsidRPr="001A6B21" w:rsidRDefault="001A6B21" w:rsidP="001A6B21">
                            <w:pPr>
                              <w:jc w:val="center"/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21"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ALUMNA: ALISON LILY HERNANDEZ VEGA</w:t>
                            </w:r>
                          </w:p>
                          <w:p w:rsidR="001A6B21" w:rsidRPr="001A6B21" w:rsidRDefault="001A6B21" w:rsidP="001A6B21">
                            <w:pPr>
                              <w:jc w:val="center"/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21"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PROFESORA: ROSA VELIA DEL RIO TIJERINA</w:t>
                            </w:r>
                          </w:p>
                          <w:p w:rsidR="001A6B21" w:rsidRPr="001A6B21" w:rsidRDefault="001A6B21" w:rsidP="001A6B21">
                            <w:pPr>
                              <w:jc w:val="center"/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21"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“D”</w:t>
                            </w:r>
                          </w:p>
                          <w:p w:rsidR="001A6B21" w:rsidRPr="001A6B21" w:rsidRDefault="001A6B21" w:rsidP="001A6B21">
                            <w:pPr>
                              <w:jc w:val="right"/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21">
                              <w:rPr>
                                <w:rFonts w:ascii="Bell MT" w:hAnsi="Bell MT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28/10/2020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9.75pt;margin-top:445.4pt;width:339.3pt;height:199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" filled="f" stroked="f" strokeweight=".5pt">
                <v:textbox>
                  <w:txbxContent>
                    <w:p w:rsidR="001A6B21" w:rsidRPr="001A6B21" w:rsidRDefault="001A6B21" w:rsidP="001A6B21">
                      <w:pPr>
                        <w:jc w:val="center"/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B21"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ALUMNA: ALISON LILY HERNANDEZ VEGA</w:t>
                      </w:r>
                    </w:p>
                    <w:p w:rsidR="001A6B21" w:rsidRPr="001A6B21" w:rsidRDefault="001A6B21" w:rsidP="001A6B21">
                      <w:pPr>
                        <w:jc w:val="center"/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B21"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PROFESORA: ROSA VELIA DEL RIO TIJERINA</w:t>
                      </w:r>
                    </w:p>
                    <w:p w:rsidR="001A6B21" w:rsidRPr="001A6B21" w:rsidRDefault="001A6B21" w:rsidP="001A6B21">
                      <w:pPr>
                        <w:jc w:val="center"/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B21"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“D”</w:t>
                      </w:r>
                    </w:p>
                    <w:p w:rsidR="001A6B21" w:rsidRPr="001A6B21" w:rsidRDefault="001A6B21" w:rsidP="001A6B21">
                      <w:pPr>
                        <w:jc w:val="right"/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B21">
                        <w:rPr>
                          <w:rFonts w:ascii="Bell MT" w:hAnsi="Bell MT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28/10/2020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2864485</wp:posOffset>
                </wp:positionV>
                <wp:extent cx="5836285" cy="117665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11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B21" w:rsidRPr="001A6B21" w:rsidRDefault="001A6B21" w:rsidP="001A6B2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F7CAAC" w:themeColor="accent2" w:themeTint="66"/>
                                <w:sz w:val="5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F7CAAC" w:themeColor="accent2" w:themeTint="66"/>
                                <w:sz w:val="5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Pr="001A6B21">
                              <w:rPr>
                                <w:rFonts w:ascii="Bell MT" w:hAnsi="Bell MT"/>
                                <w:b/>
                                <w:color w:val="F7CAAC" w:themeColor="accent2" w:themeTint="66"/>
                                <w:sz w:val="5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NATURALEZA DE LA CIENCIA Y LA TECNOLOGIA</w:t>
                            </w:r>
                            <w:r>
                              <w:rPr>
                                <w:rFonts w:ascii="Bell MT" w:hAnsi="Bell MT"/>
                                <w:b/>
                                <w:color w:val="F7CAAC" w:themeColor="accent2" w:themeTint="66"/>
                                <w:sz w:val="5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-16.15pt;margin-top:225.55pt;width:459.55pt;height:9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" filled="f" stroked="f" strokeweight=".5pt">
                <v:textbox>
                  <w:txbxContent>
                    <w:p w:rsidR="001A6B21" w:rsidRPr="001A6B21" w:rsidRDefault="001A6B21" w:rsidP="001A6B21">
                      <w:pPr>
                        <w:jc w:val="center"/>
                        <w:rPr>
                          <w:rFonts w:ascii="Bell MT" w:hAnsi="Bell MT"/>
                          <w:b/>
                          <w:color w:val="F7CAAC" w:themeColor="accent2" w:themeTint="66"/>
                          <w:sz w:val="5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ll MT" w:hAnsi="Bell MT"/>
                          <w:b/>
                          <w:color w:val="F7CAAC" w:themeColor="accent2" w:themeTint="66"/>
                          <w:sz w:val="5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Pr="001A6B21">
                        <w:rPr>
                          <w:rFonts w:ascii="Bell MT" w:hAnsi="Bell MT"/>
                          <w:b/>
                          <w:color w:val="F7CAAC" w:themeColor="accent2" w:themeTint="66"/>
                          <w:sz w:val="5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NATURALEZA DE LA CIENCIA Y LA TECNOLOGIA</w:t>
                      </w:r>
                      <w:r>
                        <w:rPr>
                          <w:rFonts w:ascii="Bell MT" w:hAnsi="Bell MT"/>
                          <w:b/>
                          <w:color w:val="F7CAAC" w:themeColor="accent2" w:themeTint="66"/>
                          <w:sz w:val="5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-457565</wp:posOffset>
                </wp:positionH>
                <wp:positionV relativeFrom="paragraph">
                  <wp:posOffset>4878</wp:posOffset>
                </wp:positionV>
                <wp:extent cx="4007485" cy="865762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485" cy="865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B21" w:rsidRPr="001A6B21" w:rsidRDefault="001A6B21" w:rsidP="001A6B2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i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21">
                              <w:rPr>
                                <w:rFonts w:ascii="Bell MT" w:hAnsi="Bell MT"/>
                                <w:b/>
                                <w:i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-36.05pt;margin-top:.4pt;width:315.55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" filled="f" stroked="f" strokeweight=".5pt">
                <v:textbox>
                  <w:txbxContent>
                    <w:p w:rsidR="001A6B21" w:rsidRPr="001A6B21" w:rsidRDefault="001A6B21" w:rsidP="001A6B21">
                      <w:pPr>
                        <w:jc w:val="center"/>
                        <w:rPr>
                          <w:rFonts w:ascii="Bell MT" w:hAnsi="Bell MT"/>
                          <w:b/>
                          <w:i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B21">
                        <w:rPr>
                          <w:rFonts w:ascii="Bell MT" w:hAnsi="Bell MT"/>
                          <w:b/>
                          <w:i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58240" behindDoc="1" locked="0" layoutInCell="1" allowOverlap="1" wp14:anchorId="06EDF3B0" wp14:editId="71AA6DE5">
            <wp:simplePos x="0" y="0"/>
            <wp:positionH relativeFrom="page">
              <wp:posOffset>19050</wp:posOffset>
            </wp:positionH>
            <wp:positionV relativeFrom="paragraph">
              <wp:posOffset>-928370</wp:posOffset>
            </wp:positionV>
            <wp:extent cx="7543800" cy="106965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Pr="004A4484" w:rsidRDefault="004A4484" w:rsidP="004A4484"/>
    <w:p w:rsidR="004A4484" w:rsidRDefault="004A4484" w:rsidP="004A4484"/>
    <w:p w:rsidR="004A4484" w:rsidRDefault="004A4484" w:rsidP="004A4484"/>
    <w:p w:rsidR="001A6B21" w:rsidRPr="004A4484" w:rsidRDefault="001A6B21" w:rsidP="004A4484">
      <w:pPr>
        <w:jc w:val="center"/>
        <w:rPr>
          <w:noProof/>
          <w:lang w:eastAsia="es-419"/>
        </w:rPr>
      </w:pPr>
      <w:r w:rsidRPr="004A4484">
        <w:br w:type="page"/>
      </w:r>
      <w:r w:rsidR="000F2357" w:rsidRPr="000F2357">
        <w:rPr>
          <w:rFonts w:ascii="Bell MT" w:hAnsi="Bell MT"/>
          <w:i/>
          <w:color w:val="000000" w:themeColor="text1"/>
          <w:sz w:val="48"/>
          <w14:glow w14:rad="101600">
            <w14:schemeClr w14:val="accent5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LISTADO</w:t>
      </w:r>
    </w:p>
    <w:p w:rsidR="00F650BA" w:rsidRDefault="00F650BA" w:rsidP="004A4484">
      <w:pPr>
        <w:jc w:val="center"/>
        <w:rPr>
          <w:rFonts w:ascii="AR JULIAN" w:hAnsi="AR JULIAN" w:cs="Arial"/>
          <w:sz w:val="24"/>
          <w:u w:val="single"/>
        </w:rPr>
      </w:pPr>
    </w:p>
    <w:p w:rsidR="004A4484" w:rsidRDefault="004A4484" w:rsidP="004A4484">
      <w:pPr>
        <w:jc w:val="center"/>
        <w:rPr>
          <w:rFonts w:ascii="AR JULIAN" w:hAnsi="AR JULIAN" w:cs="Arial"/>
          <w:sz w:val="24"/>
          <w:u w:val="single"/>
        </w:rPr>
      </w:pPr>
      <w:r w:rsidRPr="004A4484">
        <w:rPr>
          <w:rFonts w:ascii="AR JULIAN" w:hAnsi="AR JULIAN" w:cs="Arial"/>
          <w:sz w:val="24"/>
          <w:u w:val="single"/>
        </w:rPr>
        <w:t>La naturaleza de la ciencia y la tecnología en la formación de profesores de primaria. En torno a una mejor comprensión desde la perspectiva de género.</w:t>
      </w:r>
    </w:p>
    <w:p w:rsidR="00F650BA" w:rsidRDefault="00F650BA" w:rsidP="004A4484">
      <w:pPr>
        <w:jc w:val="center"/>
        <w:rPr>
          <w:rFonts w:ascii="AR JULIAN" w:hAnsi="AR JULIAN" w:cs="Arial"/>
          <w:sz w:val="24"/>
          <w:u w:val="single"/>
        </w:rPr>
      </w:pPr>
    </w:p>
    <w:p w:rsidR="00F650BA" w:rsidRPr="004A4484" w:rsidRDefault="00F650BA" w:rsidP="004A4484">
      <w:pPr>
        <w:jc w:val="center"/>
        <w:rPr>
          <w:rFonts w:ascii="AR JULIAN" w:hAnsi="AR JULIAN" w:cs="Arial"/>
          <w:sz w:val="24"/>
          <w:u w:val="single"/>
        </w:rPr>
      </w:pP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Cuestionamiento a los métodos de enseñanza impartidos por los docentes.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Análisis al cuerpo estudiantil y su porcentaje en cuanto a los distintos sexos.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Enfoque en el criterio de temas impartidos por docentes.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Distinción en la formación de nuevas estrategias para impartir materias relacionadas a las ciencias y tecnologías.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Propuesta que fundamenta una reflexión sobre las prácticas docentes que se llevan a cabo con el fin de mejorar las bases impartidas en educación primaria.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Estrategia que desafía a los docentes a diseñar estrategias didácticas.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Se tomó en cuenta factores cómo: orientaciones globales para la elaboración de estrategias y programas, reconocimiento del valor de las ciencias y tecnologías y la naturaleza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Inclusión de actividades prácticas que faciliten concebir la ciencia cómo un proceso dinámico.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Relación de la ciencia con la construcción social-ambiental de nuestro país.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Observación de orientaciones globales desde el punto de vista constructivista.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Impartición de alternativas didácticas en el enfoque de la ciencia, tecnología, sociedad y ambiente.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Importancia de la actividad y el contexto para el aprendizaje.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Reconocimiento del aprendizaje escolar como un proceso de enculturación de integración gradual.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Desarrollo dirigido a las capacidades reflexivas y pensamiento crítico.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Análisis de forma global detallando de manera estadística y descriptiva la comparación entre los grupos de estudio.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Comprobación de resultados arrojando que tanto científicos como científicas tienen la misma capacidad.</w:t>
      </w:r>
    </w:p>
    <w:p w:rsidR="004A4484" w:rsidRPr="004A4484" w:rsidRDefault="00884387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propuesta permitió u</w:t>
      </w:r>
      <w:r w:rsidR="004A4484" w:rsidRPr="004A4484">
        <w:rPr>
          <w:rFonts w:ascii="Arial" w:hAnsi="Arial" w:cs="Arial"/>
          <w:sz w:val="24"/>
        </w:rPr>
        <w:t>n cambio de actitud favorable.</w:t>
      </w:r>
    </w:p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 xml:space="preserve">Favorecimiento en la comprensión y crítica de la naturaleza, ciencias y </w:t>
      </w:r>
      <w:bookmarkStart w:id="0" w:name="_GoBack"/>
      <w:r w:rsidRPr="004A4484">
        <w:rPr>
          <w:rFonts w:ascii="Arial" w:hAnsi="Arial" w:cs="Arial"/>
          <w:sz w:val="24"/>
        </w:rPr>
        <w:t>tecnología desde la perspectiva de género.</w:t>
      </w:r>
    </w:p>
    <w:bookmarkEnd w:id="0"/>
    <w:p w:rsidR="004A4484" w:rsidRP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lastRenderedPageBreak/>
        <w:t>Mejoramiento en la impartición de conocimientos a nivel primaria con acerca de las creencias y actitudes vistas en los profesores.</w:t>
      </w:r>
    </w:p>
    <w:p w:rsidR="004A4484" w:rsidRDefault="004A4484" w:rsidP="004A448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A4484">
        <w:rPr>
          <w:rFonts w:ascii="Arial" w:hAnsi="Arial" w:cs="Arial"/>
          <w:sz w:val="24"/>
        </w:rPr>
        <w:t>Creación de un pensamiento crítico en los estudiantes impartido por los profesores respecto a los pros y contras de las ciencias y tecnologías.</w:t>
      </w:r>
    </w:p>
    <w:p w:rsidR="00F650BA" w:rsidRPr="00F650BA" w:rsidRDefault="00F650BA" w:rsidP="00F650BA">
      <w:pPr>
        <w:pStyle w:val="Prrafodelista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F650BA">
        <w:rPr>
          <w:rFonts w:ascii="Arial" w:hAnsi="Arial" w:cs="Arial"/>
          <w:sz w:val="24"/>
        </w:rPr>
        <w:t xml:space="preserve"> El</w:t>
      </w:r>
      <w:r w:rsidRPr="00F650BA">
        <w:rPr>
          <w:rFonts w:ascii="Arial" w:hAnsi="Arial" w:cs="Arial"/>
          <w:sz w:val="28"/>
          <w:szCs w:val="24"/>
        </w:rPr>
        <w:t xml:space="preserve"> </w:t>
      </w:r>
      <w:r w:rsidRPr="00F650BA">
        <w:rPr>
          <w:rFonts w:ascii="Arial" w:hAnsi="Arial" w:cs="Arial"/>
          <w:sz w:val="24"/>
          <w:szCs w:val="24"/>
        </w:rPr>
        <w:t xml:space="preserve">cocimiento y la comprensión “sobre” la ciencia – y la tecnología - (o </w:t>
      </w:r>
      <w:proofErr w:type="spellStart"/>
      <w:r w:rsidRPr="00F650BA">
        <w:rPr>
          <w:rFonts w:ascii="Arial" w:hAnsi="Arial" w:cs="Arial"/>
          <w:sz w:val="24"/>
          <w:szCs w:val="24"/>
        </w:rPr>
        <w:t>NdCyT</w:t>
      </w:r>
      <w:proofErr w:type="spellEnd"/>
      <w:r w:rsidRPr="00F650BA">
        <w:rPr>
          <w:rFonts w:ascii="Arial" w:hAnsi="Arial" w:cs="Arial"/>
          <w:sz w:val="24"/>
          <w:szCs w:val="24"/>
        </w:rPr>
        <w:t xml:space="preserve">), es decir, comprender qué es la </w:t>
      </w:r>
      <w:proofErr w:type="spellStart"/>
      <w:r w:rsidRPr="00F650BA">
        <w:rPr>
          <w:rFonts w:ascii="Arial" w:hAnsi="Arial" w:cs="Arial"/>
          <w:sz w:val="24"/>
          <w:szCs w:val="24"/>
        </w:rPr>
        <w:t>CyT</w:t>
      </w:r>
      <w:proofErr w:type="spellEnd"/>
      <w:r w:rsidRPr="00F650BA">
        <w:rPr>
          <w:rFonts w:ascii="Arial" w:hAnsi="Arial" w:cs="Arial"/>
          <w:sz w:val="24"/>
          <w:szCs w:val="24"/>
        </w:rPr>
        <w:t xml:space="preserve"> y como validan sus conocimientos.</w:t>
      </w:r>
    </w:p>
    <w:p w:rsidR="00F650BA" w:rsidRPr="00F650BA" w:rsidRDefault="00F650BA" w:rsidP="00F650BA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4"/>
          <w:szCs w:val="24"/>
          <w:lang w:eastAsia="es-419"/>
        </w:rPr>
      </w:pPr>
      <w:r w:rsidRPr="00F650BA">
        <w:rPr>
          <w:rFonts w:ascii="Arial" w:eastAsia="Times New Roman" w:hAnsi="Arial" w:cs="Arial"/>
          <w:sz w:val="24"/>
          <w:szCs w:val="24"/>
          <w:lang w:eastAsia="es-419"/>
        </w:rPr>
        <w:t>Satisfacer los intereses y necesidades concretos (tomar decisiones prácticas)</w:t>
      </w:r>
    </w:p>
    <w:p w:rsidR="00F650BA" w:rsidRPr="00F650BA" w:rsidRDefault="00F650BA" w:rsidP="00F650BA">
      <w:pPr>
        <w:pStyle w:val="Prrafodelista"/>
        <w:numPr>
          <w:ilvl w:val="0"/>
          <w:numId w:val="1"/>
        </w:numPr>
        <w:shd w:val="clear" w:color="auto" w:fill="FFFFFF"/>
        <w:rPr>
          <w:sz w:val="27"/>
          <w:szCs w:val="27"/>
        </w:rPr>
      </w:pPr>
      <w:r w:rsidRPr="00F650BA">
        <w:rPr>
          <w:rFonts w:ascii="Times New Roman" w:eastAsia="Times New Roman" w:hAnsi="Times New Roman" w:cs="Times New Roman"/>
          <w:sz w:val="27"/>
          <w:szCs w:val="27"/>
          <w:lang w:eastAsia="es-419"/>
        </w:rPr>
        <w:t xml:space="preserve"> </w:t>
      </w:r>
      <w:r w:rsidRPr="00F650BA">
        <w:rPr>
          <w:rFonts w:ascii="Arial" w:eastAsia="Times New Roman" w:hAnsi="Arial" w:cs="Arial"/>
          <w:sz w:val="24"/>
          <w:szCs w:val="24"/>
          <w:lang w:eastAsia="es-419"/>
        </w:rPr>
        <w:t xml:space="preserve">Favorecer la identidad personal y social (acoger mujeres y minorías) y </w:t>
      </w:r>
      <w:r w:rsidRPr="00F650BA">
        <w:rPr>
          <w:rFonts w:ascii="Arial" w:hAnsi="Arial" w:cs="Arial"/>
          <w:sz w:val="24"/>
          <w:szCs w:val="24"/>
        </w:rPr>
        <w:t>hacer atractivo y emocionante su aprendizaje</w:t>
      </w:r>
      <w:r w:rsidRPr="00F650BA">
        <w:rPr>
          <w:sz w:val="27"/>
          <w:szCs w:val="27"/>
        </w:rPr>
        <w:t>.</w:t>
      </w:r>
    </w:p>
    <w:p w:rsidR="00F650BA" w:rsidRPr="003A6A25" w:rsidRDefault="003A6A25" w:rsidP="00F650BA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8"/>
          <w:szCs w:val="27"/>
          <w:lang w:eastAsia="es-419"/>
        </w:rPr>
      </w:pPr>
      <w:r w:rsidRPr="003A6A25">
        <w:rPr>
          <w:rFonts w:ascii="Arial" w:hAnsi="Arial" w:cs="Arial"/>
          <w:sz w:val="24"/>
        </w:rPr>
        <w:t>La naturaleza de la ciencia es la denominación empleada para designar los contenidos interdisciplinares desarrollados especialmente desde la historia, la</w:t>
      </w:r>
      <w:r w:rsidRPr="003A6A25">
        <w:rPr>
          <w:rFonts w:ascii="Arial" w:hAnsi="Arial" w:cs="Arial"/>
          <w:sz w:val="24"/>
        </w:rPr>
        <w:t xml:space="preserve"> </w:t>
      </w:r>
      <w:r w:rsidRPr="003A6A25">
        <w:rPr>
          <w:rFonts w:ascii="Arial" w:hAnsi="Arial" w:cs="Arial"/>
          <w:sz w:val="24"/>
        </w:rPr>
        <w:t>filosofía y la sociología de la ciencia y tecnología, pero también la psicología, la economía, la política, la ética y otras.</w:t>
      </w:r>
    </w:p>
    <w:p w:rsidR="003A6A25" w:rsidRPr="003A6A25" w:rsidRDefault="003A6A25" w:rsidP="003A6A25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2"/>
          <w:szCs w:val="27"/>
          <w:lang w:eastAsia="es-419"/>
        </w:rPr>
      </w:pPr>
      <w:r w:rsidRPr="003A6A25">
        <w:rPr>
          <w:rFonts w:ascii="Arial" w:hAnsi="Arial" w:cs="Arial"/>
          <w:sz w:val="24"/>
        </w:rPr>
        <w:t xml:space="preserve">La metodología aplicada es un análisis exhaustivo de contenidos al RD1105 para identificar los contenidos de </w:t>
      </w:r>
      <w:proofErr w:type="spellStart"/>
      <w:r w:rsidRPr="003A6A25">
        <w:rPr>
          <w:rFonts w:ascii="Arial" w:hAnsi="Arial" w:cs="Arial"/>
          <w:sz w:val="24"/>
        </w:rPr>
        <w:t>NdCyT</w:t>
      </w:r>
      <w:proofErr w:type="spellEnd"/>
      <w:r w:rsidRPr="003A6A25">
        <w:rPr>
          <w:rFonts w:ascii="Arial" w:hAnsi="Arial" w:cs="Arial"/>
          <w:sz w:val="24"/>
        </w:rPr>
        <w:t xml:space="preserve"> entre los elementos curriculares mediante las categorías de un instrumento que ofrece una taxonomía de </w:t>
      </w:r>
      <w:proofErr w:type="spellStart"/>
      <w:r w:rsidRPr="003A6A25">
        <w:rPr>
          <w:rFonts w:ascii="Arial" w:hAnsi="Arial" w:cs="Arial"/>
          <w:sz w:val="24"/>
        </w:rPr>
        <w:t>NdCyT</w:t>
      </w:r>
      <w:proofErr w:type="spellEnd"/>
      <w:r w:rsidRPr="003A6A25">
        <w:rPr>
          <w:rFonts w:ascii="Arial" w:hAnsi="Arial" w:cs="Arial"/>
          <w:sz w:val="24"/>
        </w:rPr>
        <w:t>.</w:t>
      </w:r>
    </w:p>
    <w:p w:rsidR="003A6A25" w:rsidRPr="003A6A25" w:rsidRDefault="003A6A25" w:rsidP="003A6A25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6"/>
          <w:szCs w:val="27"/>
          <w:lang w:eastAsia="es-419"/>
        </w:rPr>
      </w:pPr>
      <w:r w:rsidRPr="003A6A25">
        <w:rPr>
          <w:rFonts w:ascii="Arial" w:hAnsi="Arial" w:cs="Arial"/>
          <w:sz w:val="24"/>
        </w:rPr>
        <w:t>El análisis tiene en cuenta la organización en distintos niveles y cursos</w:t>
      </w:r>
      <w:r w:rsidRPr="003A6A25">
        <w:rPr>
          <w:rFonts w:ascii="Arial" w:hAnsi="Arial" w:cs="Arial"/>
          <w:sz w:val="24"/>
        </w:rPr>
        <w:t xml:space="preserve">, </w:t>
      </w:r>
      <w:r w:rsidRPr="003A6A25">
        <w:rPr>
          <w:rFonts w:ascii="Arial" w:hAnsi="Arial" w:cs="Arial"/>
          <w:sz w:val="24"/>
        </w:rPr>
        <w:t>en diversas asignaturas (biología, geología, física, quím</w:t>
      </w:r>
      <w:r w:rsidRPr="003A6A25">
        <w:rPr>
          <w:rFonts w:ascii="Arial" w:hAnsi="Arial" w:cs="Arial"/>
          <w:sz w:val="24"/>
        </w:rPr>
        <w:t>ica)</w:t>
      </w:r>
    </w:p>
    <w:p w:rsidR="003A6A25" w:rsidRPr="003A6A25" w:rsidRDefault="003A6A25" w:rsidP="003A6A25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6"/>
          <w:szCs w:val="27"/>
          <w:lang w:eastAsia="es-419"/>
        </w:rPr>
      </w:pPr>
      <w:r>
        <w:rPr>
          <w:rFonts w:ascii="Arial" w:hAnsi="Arial" w:cs="Arial"/>
          <w:sz w:val="24"/>
        </w:rPr>
        <w:t>S</w:t>
      </w:r>
      <w:r w:rsidRPr="003A6A25">
        <w:rPr>
          <w:rFonts w:ascii="Arial" w:hAnsi="Arial" w:cs="Arial"/>
          <w:sz w:val="24"/>
        </w:rPr>
        <w:t>e desarrolla en dos dimensiones, sociología externa (las relaciones con otros elementos e instituciones sociales) y sociología interna (que comprende actividades y valores profesionales desarrollados por científicos y tecnólogos dentro de sus comunidades de prácticas).</w:t>
      </w:r>
    </w:p>
    <w:p w:rsidR="003A6A25" w:rsidRPr="000138A1" w:rsidRDefault="000138A1" w:rsidP="003A6A25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6"/>
          <w:szCs w:val="27"/>
          <w:lang w:eastAsia="es-419"/>
        </w:rPr>
      </w:pPr>
      <w:r>
        <w:rPr>
          <w:rFonts w:ascii="Arial" w:hAnsi="Arial" w:cs="Arial"/>
          <w:sz w:val="24"/>
        </w:rPr>
        <w:t>Los estándares de aprendizaje son los elementos más específicos de los tres elementos del currículo.</w:t>
      </w:r>
    </w:p>
    <w:p w:rsidR="000138A1" w:rsidRPr="000138A1" w:rsidRDefault="000138A1" w:rsidP="003A6A25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40"/>
          <w:szCs w:val="27"/>
          <w:lang w:eastAsia="es-419"/>
        </w:rPr>
      </w:pPr>
      <w:r>
        <w:rPr>
          <w:rFonts w:ascii="Arial" w:hAnsi="Arial" w:cs="Arial"/>
          <w:sz w:val="24"/>
        </w:rPr>
        <w:t>El contenido identificado se organiza en dos niveles, un nivel de bloques, donde se presentan elementos relacionados</w:t>
      </w:r>
      <w:r w:rsidRPr="000138A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4"/>
        </w:rPr>
        <w:t xml:space="preserve">con </w:t>
      </w:r>
      <w:proofErr w:type="spellStart"/>
      <w:r>
        <w:rPr>
          <w:rFonts w:ascii="Arial" w:hAnsi="Arial" w:cs="Arial"/>
          <w:sz w:val="24"/>
        </w:rPr>
        <w:t>NdCyT</w:t>
      </w:r>
      <w:proofErr w:type="spellEnd"/>
      <w:r>
        <w:rPr>
          <w:rFonts w:ascii="Arial" w:hAnsi="Arial" w:cs="Arial"/>
          <w:sz w:val="24"/>
        </w:rPr>
        <w:t xml:space="preserve"> y el segundo nivel de casos, donde se presentas elementos relacionados </w:t>
      </w:r>
      <w:r w:rsidRPr="000138A1">
        <w:rPr>
          <w:rFonts w:ascii="Arial" w:hAnsi="Arial" w:cs="Arial"/>
          <w:sz w:val="24"/>
        </w:rPr>
        <w:t xml:space="preserve">con </w:t>
      </w:r>
      <w:proofErr w:type="spellStart"/>
      <w:r w:rsidRPr="000138A1">
        <w:rPr>
          <w:rFonts w:ascii="Arial" w:hAnsi="Arial" w:cs="Arial"/>
          <w:sz w:val="24"/>
        </w:rPr>
        <w:t>NdCyT</w:t>
      </w:r>
      <w:proofErr w:type="spellEnd"/>
      <w:r w:rsidRPr="000138A1">
        <w:rPr>
          <w:rFonts w:ascii="Arial" w:hAnsi="Arial" w:cs="Arial"/>
          <w:sz w:val="24"/>
        </w:rPr>
        <w:t xml:space="preserve"> que aparecen en el currículo como referencias</w:t>
      </w:r>
      <w:r w:rsidR="005D40AE">
        <w:rPr>
          <w:rFonts w:ascii="Arial" w:hAnsi="Arial" w:cs="Arial"/>
          <w:sz w:val="24"/>
        </w:rPr>
        <w:t xml:space="preserve"> específicas y concretas. </w:t>
      </w:r>
    </w:p>
    <w:p w:rsidR="000138A1" w:rsidRPr="003A6A25" w:rsidRDefault="000138A1" w:rsidP="005D40AE">
      <w:pPr>
        <w:pStyle w:val="Prrafodelista"/>
        <w:shd w:val="clear" w:color="auto" w:fill="FFFFFF"/>
        <w:rPr>
          <w:rFonts w:ascii="Arial" w:eastAsia="Times New Roman" w:hAnsi="Arial" w:cs="Arial"/>
          <w:sz w:val="36"/>
          <w:szCs w:val="27"/>
          <w:lang w:eastAsia="es-419"/>
        </w:rPr>
      </w:pPr>
    </w:p>
    <w:p w:rsidR="00F650BA" w:rsidRPr="004A4484" w:rsidRDefault="00F650BA" w:rsidP="00F650BA">
      <w:pPr>
        <w:pStyle w:val="Prrafodelista"/>
        <w:rPr>
          <w:rFonts w:ascii="Arial" w:hAnsi="Arial" w:cs="Arial"/>
          <w:sz w:val="24"/>
        </w:rPr>
      </w:pPr>
    </w:p>
    <w:p w:rsidR="000F2357" w:rsidRPr="000F2357" w:rsidRDefault="000F2357" w:rsidP="000F2357">
      <w:pPr>
        <w:rPr>
          <w:rFonts w:ascii="Bell MT" w:hAnsi="Bell MT"/>
          <w:b/>
          <w:i/>
        </w:rPr>
      </w:pPr>
    </w:p>
    <w:p w:rsidR="008F5842" w:rsidRPr="00F650BA" w:rsidRDefault="008F5842" w:rsidP="00F650B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es-419"/>
        </w:rPr>
      </w:pPr>
    </w:p>
    <w:sectPr w:rsidR="008F5842" w:rsidRPr="00F65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12" w:rsidRDefault="00576812" w:rsidP="004A4484">
      <w:pPr>
        <w:spacing w:after="0" w:line="240" w:lineRule="auto"/>
      </w:pPr>
      <w:r>
        <w:separator/>
      </w:r>
    </w:p>
  </w:endnote>
  <w:endnote w:type="continuationSeparator" w:id="0">
    <w:p w:rsidR="00576812" w:rsidRDefault="00576812" w:rsidP="004A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12" w:rsidRDefault="00576812" w:rsidP="004A4484">
      <w:pPr>
        <w:spacing w:after="0" w:line="240" w:lineRule="auto"/>
      </w:pPr>
      <w:r>
        <w:separator/>
      </w:r>
    </w:p>
  </w:footnote>
  <w:footnote w:type="continuationSeparator" w:id="0">
    <w:p w:rsidR="00576812" w:rsidRDefault="00576812" w:rsidP="004A4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650"/>
    <w:multiLevelType w:val="hybridMultilevel"/>
    <w:tmpl w:val="FD22A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00"/>
    <w:rsid w:val="000138A1"/>
    <w:rsid w:val="000F2357"/>
    <w:rsid w:val="00190A1C"/>
    <w:rsid w:val="001A6B21"/>
    <w:rsid w:val="003A6A25"/>
    <w:rsid w:val="004A4484"/>
    <w:rsid w:val="00576812"/>
    <w:rsid w:val="005D40AE"/>
    <w:rsid w:val="00805CCE"/>
    <w:rsid w:val="00884387"/>
    <w:rsid w:val="008F5842"/>
    <w:rsid w:val="00960300"/>
    <w:rsid w:val="00F650BA"/>
    <w:rsid w:val="00F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BB8EB"/>
  <w15:chartTrackingRefBased/>
  <w15:docId w15:val="{F22F1519-E36F-41B2-896A-E7D2047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60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A4484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A4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484"/>
  </w:style>
  <w:style w:type="paragraph" w:styleId="Piedepgina">
    <w:name w:val="footer"/>
    <w:basedOn w:val="Normal"/>
    <w:link w:val="PiedepginaCar"/>
    <w:uiPriority w:val="99"/>
    <w:unhideWhenUsed/>
    <w:rsid w:val="004A4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4567-F320-4DC9-9C57-17ECDE61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3</cp:revision>
  <dcterms:created xsi:type="dcterms:W3CDTF">2020-10-28T21:59:00Z</dcterms:created>
  <dcterms:modified xsi:type="dcterms:W3CDTF">2020-10-29T04:55:00Z</dcterms:modified>
</cp:coreProperties>
</file>