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002060"/>
        </w:rPr>
        <w:id w:val="227579784"/>
        <w:docPartObj>
          <w:docPartGallery w:val="Cover Pages"/>
          <w:docPartUnique/>
        </w:docPartObj>
      </w:sdtPr>
      <w:sdtEndPr>
        <w:rPr>
          <w:color w:val="2F5496" w:themeColor="accent1" w:themeShade="BF"/>
          <w:sz w:val="28"/>
          <w:szCs w:val="28"/>
        </w:rPr>
      </w:sdtEndPr>
      <w:sdtContent>
        <w:p w14:paraId="0D5889A5" w14:textId="5693FFC6" w:rsidR="00661DEB" w:rsidRPr="00661DEB" w:rsidRDefault="00661DEB">
          <w:pPr>
            <w:rPr>
              <w:color w:val="002060"/>
            </w:rPr>
          </w:pPr>
          <w:r w:rsidRPr="00661DEB">
            <w:rPr>
              <w:noProof/>
              <w:color w:val="002060"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18A53172" wp14:editId="719EC7C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  <a:solidFill>
                              <a:srgbClr val="00B0F0"/>
                            </a:solidFill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01ED8D55" w14:textId="373D36D3" w:rsidR="00661DEB" w:rsidRDefault="00661DEB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JULIA YESSENIA MONTOYA SILVA</w:t>
                                      </w:r>
                                    </w:p>
                                  </w:sdtContent>
                                </w:sdt>
                                <w:p w14:paraId="1153B7D2" w14:textId="2A45B4C4" w:rsidR="00661DEB" w:rsidRDefault="00661DEB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el sujeto y su formacion personal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normal de educación preescolar 1 “D”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ritannic Bold" w:eastAsiaTheme="majorEastAsia" w:hAnsi="Britannic Bold" w:cstheme="majorBidi"/>
                                      <w:caps/>
                                      <w:color w:val="002060"/>
                                      <w:sz w:val="48"/>
                                      <w:szCs w:val="48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7987A039" w14:textId="462D5CDD" w:rsidR="00661DEB" w:rsidRPr="00661DEB" w:rsidRDefault="00661DEB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2060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661DEB">
                                        <w:rPr>
                                          <w:rFonts w:ascii="Britannic Bold" w:eastAsiaTheme="majorEastAsia" w:hAnsi="Britannic Bold" w:cstheme="majorBidi"/>
                                          <w:caps/>
                                          <w:color w:val="002060"/>
                                          <w:sz w:val="48"/>
                                          <w:szCs w:val="48"/>
                                        </w:rPr>
                                        <w:t xml:space="preserve">la diverdidad en las reformas educativas interculturales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8A53172" id="Grupo 193" o:spid="_x0000_s1026" style="position:absolute;margin-left:0;margin-top:0;width:540.55pt;height:718.4pt;z-index:-25165312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cES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L/hwRLBAAAA3AAAAA8AAAAA&#10;AAAAAAAAAAAABwIAAGRycy9kb3ducmV2LnhtbFBLBQYAAAAAAwADALcAAAD1AgAAAAA=&#10;" filled="f" stroked="f" strokeweight="1pt"/>
                    <v:rect id="Rectángulo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" filled="f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01ED8D55" w14:textId="373D36D3" w:rsidR="00661DEB" w:rsidRDefault="00661DEB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JULIA YESSENIA MONTOYA SILVA</w:t>
                                </w:r>
                              </w:p>
                            </w:sdtContent>
                          </w:sdt>
                          <w:p w14:paraId="1153B7D2" w14:textId="2A45B4C4" w:rsidR="00661DEB" w:rsidRDefault="00661DEB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>el sujeto y su formacion personal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</w:rPr>
                                  <w:t>normal de educación preescolar 1 “D”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" filled="f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Britannic Bold" w:eastAsiaTheme="majorEastAsia" w:hAnsi="Britannic Bold" w:cstheme="majorBidi"/>
                                <w:caps/>
                                <w:color w:val="002060"/>
                                <w:sz w:val="48"/>
                                <w:szCs w:val="48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7987A039" w14:textId="462D5CDD" w:rsidR="00661DEB" w:rsidRPr="00661DEB" w:rsidRDefault="00661DEB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2060"/>
                                    <w:sz w:val="72"/>
                                    <w:szCs w:val="72"/>
                                  </w:rPr>
                                </w:pPr>
                                <w:r w:rsidRPr="00661DEB">
                                  <w:rPr>
                                    <w:rFonts w:ascii="Britannic Bold" w:eastAsiaTheme="majorEastAsia" w:hAnsi="Britannic Bold" w:cstheme="majorBidi"/>
                                    <w:caps/>
                                    <w:color w:val="002060"/>
                                    <w:sz w:val="48"/>
                                    <w:szCs w:val="48"/>
                                  </w:rPr>
                                  <w:t xml:space="preserve">la diverdidad en las reformas educativas interculturales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355E98D" w14:textId="481BBD0E" w:rsidR="00661DEB" w:rsidRDefault="00661DEB">
          <w:pPr>
            <w:rPr>
              <w:color w:val="2F5496" w:themeColor="accent1" w:themeShade="BF"/>
              <w:sz w:val="28"/>
              <w:szCs w:val="28"/>
            </w:rPr>
          </w:pPr>
          <w:r>
            <w:rPr>
              <w:color w:val="2F5496" w:themeColor="accent1" w:themeShade="BF"/>
              <w:sz w:val="28"/>
              <w:szCs w:val="28"/>
            </w:rPr>
            <w:br w:type="page"/>
          </w:r>
        </w:p>
      </w:sdtContent>
    </w:sdt>
    <w:p w14:paraId="7B96973D" w14:textId="4358738E" w:rsidR="008B0358" w:rsidRDefault="00EE5D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CB8A4" wp14:editId="0080C237">
                <wp:simplePos x="0" y="0"/>
                <wp:positionH relativeFrom="margin">
                  <wp:align>center</wp:align>
                </wp:positionH>
                <wp:positionV relativeFrom="paragraph">
                  <wp:posOffset>-375920</wp:posOffset>
                </wp:positionV>
                <wp:extent cx="6972300" cy="914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410A9" w14:textId="7C00FAD0" w:rsidR="002E2115" w:rsidRPr="00EE5D42" w:rsidRDefault="002E2115" w:rsidP="002E2115">
                            <w:pPr>
                              <w:jc w:val="center"/>
                              <w:rPr>
                                <w:rFonts w:ascii="Bargain_Demo" w:hAnsi="Bargain_Demo"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EE5D42">
                              <w:rPr>
                                <w:rFonts w:ascii="Bargain_Demo" w:hAnsi="Bargain_Demo"/>
                                <w:color w:val="002060"/>
                                <w:sz w:val="52"/>
                                <w:szCs w:val="52"/>
                              </w:rPr>
                              <w:t>La diversidad en las reformas educativas interculturales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B8A4" id="Cuadro de texto 2" o:spid="_x0000_s1030" type="#_x0000_t202" style="position:absolute;margin-left:0;margin-top:-29.6pt;width:549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" filled="f" stroked="f" strokeweight=".5pt">
                <v:textbox>
                  <w:txbxContent>
                    <w:p w14:paraId="65F410A9" w14:textId="7C00FAD0" w:rsidR="002E2115" w:rsidRPr="00EE5D42" w:rsidRDefault="002E2115" w:rsidP="002E2115">
                      <w:pPr>
                        <w:jc w:val="center"/>
                        <w:rPr>
                          <w:rFonts w:ascii="Bargain_Demo" w:hAnsi="Bargain_Demo"/>
                          <w:color w:val="002060"/>
                          <w:sz w:val="52"/>
                          <w:szCs w:val="52"/>
                        </w:rPr>
                      </w:pPr>
                      <w:r w:rsidRPr="00EE5D42">
                        <w:rPr>
                          <w:rFonts w:ascii="Bargain_Demo" w:hAnsi="Bargain_Demo"/>
                          <w:color w:val="002060"/>
                          <w:sz w:val="52"/>
                          <w:szCs w:val="52"/>
                        </w:rPr>
                        <w:t>La diversidad en las reformas educativas interculturales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817">
        <w:rPr>
          <w:noProof/>
        </w:rPr>
        <w:drawing>
          <wp:anchor distT="0" distB="0" distL="114300" distR="114300" simplePos="0" relativeHeight="251658240" behindDoc="0" locked="0" layoutInCell="1" allowOverlap="1" wp14:anchorId="10744B3C" wp14:editId="496E54CB">
            <wp:simplePos x="0" y="0"/>
            <wp:positionH relativeFrom="page">
              <wp:align>right</wp:align>
            </wp:positionH>
            <wp:positionV relativeFrom="paragraph">
              <wp:posOffset>-3328670</wp:posOffset>
            </wp:positionV>
            <wp:extent cx="7772400" cy="51706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17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06A35" w14:textId="0473E569" w:rsidR="009716C6" w:rsidRPr="009716C6" w:rsidRDefault="009716C6" w:rsidP="009716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98897" wp14:editId="1B82A5D2">
                <wp:simplePos x="0" y="0"/>
                <wp:positionH relativeFrom="page">
                  <wp:align>left</wp:align>
                </wp:positionH>
                <wp:positionV relativeFrom="paragraph">
                  <wp:posOffset>205105</wp:posOffset>
                </wp:positionV>
                <wp:extent cx="7810500" cy="8553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855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2F6C9" w14:textId="77777777" w:rsidR="007F426C" w:rsidRDefault="007F426C"/>
                          <w:tbl>
                            <w:tblPr>
                              <w:tblStyle w:val="Tablaconcuadrcula6concolores-nfasis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  <w:gridCol w:w="5977"/>
                            </w:tblGrid>
                            <w:tr w:rsidR="00EE5D42" w14:paraId="097D04FF" w14:textId="77777777" w:rsidTr="007F426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49" w:type="dxa"/>
                                </w:tcPr>
                                <w:p w14:paraId="292E5C00" w14:textId="6D905C57" w:rsidR="00EE5D42" w:rsidRPr="007F426C" w:rsidRDefault="007F426C" w:rsidP="007F426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F426C">
                                    <w:rPr>
                                      <w:sz w:val="32"/>
                                      <w:szCs w:val="32"/>
                                    </w:rPr>
                                    <w:t>propuesta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14:paraId="728C3FEB" w14:textId="32270584" w:rsidR="00EE5D42" w:rsidRPr="007F426C" w:rsidRDefault="007F426C" w:rsidP="007F426C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F426C">
                                    <w:rPr>
                                      <w:sz w:val="32"/>
                                      <w:szCs w:val="32"/>
                                    </w:rPr>
                                    <w:t>Punto de vista</w:t>
                                  </w:r>
                                </w:p>
                              </w:tc>
                            </w:tr>
                            <w:tr w:rsidR="00EE5D42" w14:paraId="45F6C7F7" w14:textId="77777777" w:rsidTr="007F42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49" w:type="dxa"/>
                                </w:tcPr>
                                <w:p w14:paraId="42CD1A40" w14:textId="77777777" w:rsidR="00EE5D42" w:rsidRPr="00C943BF" w:rsidRDefault="007F42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sz w:val="28"/>
                                      <w:szCs w:val="28"/>
                                    </w:rPr>
                                    <w:t>Educación incluyente y critica de la interpretación conformista sobre la perdida de diversidad</w:t>
                                  </w:r>
                                </w:p>
                                <w:p w14:paraId="1C357066" w14:textId="5200B310" w:rsidR="00C943BF" w:rsidRPr="00C943BF" w:rsidRDefault="00C943BF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A finales del siglo xx se desarrollaron propuestas a favor de las poblaciones indígenas que enfatizaron la vinculación de socioculturales y etnolingüísticos con democratización y derecho la transformación de la calidad de la educación y la lucha contra la pobreza.                                                                     En tiempos de cambios las escuelas indígenas pueden ver aumentadas inquietudes en la obtención de resultados toman en cuenta drásticas y peculiaridades condiciones rurales.             Las diversidades culturales y socioculturales se simplifican </w:t>
                                  </w:r>
                                  <w:proofErr w:type="spellStart"/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proofErr w:type="spellEnd"/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interpretan por oposiciones con sentido reduccionista como el modo urbano vs el mundo rural.                                                          Ken hale da pie a la controversia lingüística en torno a la naturaleza de la diversidad y su impacto en la perdida de las lenguas.                                                                                                          La </w:t>
                                  </w:r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pérdida</w:t>
                                  </w:r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es parte de un proceso intercultural de diversidad cultural que agobian las lenguas y culturas.                                     Es importante imaginar los peligros que genera la perdida de diversidad biológica en el planeta tratar de comprender los peligros en la perdida de la diversidad lingüística.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14:paraId="43A51A68" w14:textId="77777777" w:rsidR="00EE5D42" w:rsidRDefault="007F426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7F426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Educación incluyente y critica de la interpretación conformista sobre la perdida de diversidad</w:t>
                                  </w:r>
                                </w:p>
                                <w:p w14:paraId="7782AEC1" w14:textId="77777777" w:rsidR="00C943BF" w:rsidRPr="00C943BF" w:rsidRDefault="00C943BF" w:rsidP="00C943B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sz w:val="28"/>
                                      <w:szCs w:val="28"/>
                                    </w:rPr>
                                    <w:t>Debemos tener una modelo ético y vocación para conocer y valorar la importancia de la diversidad de culturas que existen en la actualidad y desde tiempos atrás que encontramos en nuestro planeta.</w:t>
                                  </w:r>
                                </w:p>
                                <w:p w14:paraId="4925B0A7" w14:textId="09803E1B" w:rsidR="00C943BF" w:rsidRPr="007F426C" w:rsidRDefault="00C943BF" w:rsidP="00C943B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sz w:val="28"/>
                                      <w:szCs w:val="28"/>
                                    </w:rPr>
                                    <w:t>Debemos valorar la diversidad de lenguaje que existe actualmente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E5D42" w:rsidRPr="004665ED" w14:paraId="020F2707" w14:textId="77777777" w:rsidTr="00C943BF">
                              <w:trPr>
                                <w:trHeight w:val="20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49" w:type="dxa"/>
                                </w:tcPr>
                                <w:p w14:paraId="2034E719" w14:textId="77777777" w:rsidR="00EE5D42" w:rsidRDefault="00C943BF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sz w:val="28"/>
                                      <w:szCs w:val="28"/>
                                    </w:rPr>
                                    <w:t>Lectura demográfica de la diversidad</w:t>
                                  </w:r>
                                </w:p>
                                <w:p w14:paraId="27622BA5" w14:textId="5988D6CC" w:rsidR="00C943BF" w:rsidRPr="00C943BF" w:rsidRDefault="00C943BF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C943B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La di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versidad es desentrañada a través de la demográfica para fines educativos.                                                 Xavier Albó llama la atención sobre tendencias sobre el desarrollo cuantitativo de la población del hablante en idiomas latinoamericanos que permiten formular predicciones.                                                         </w:t>
                                  </w:r>
                                  <w:r w:rsidR="009716C6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La comparación de las tendencias revela que las comunidades integran sistemas   </w:t>
                                  </w:r>
                                </w:p>
                              </w:tc>
                              <w:tc>
                                <w:tcPr>
                                  <w:tcW w:w="5977" w:type="dxa"/>
                                </w:tcPr>
                                <w:p w14:paraId="7C311568" w14:textId="3AEF9EEC" w:rsidR="00C943BF" w:rsidRPr="004665ED" w:rsidRDefault="009716C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Nos habla de </w:t>
                                  </w:r>
                                  <w:r w:rsidR="004665ED" w:rsidRP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cómo se ha dado importancia a la lengua y la cultura a costa de </w:t>
                                  </w:r>
                                  <w:proofErr w:type="gramStart"/>
                                  <w:r w:rsid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evoluciones </w:t>
                                  </w:r>
                                  <w:r w:rsidR="004665ED" w:rsidRPr="004665ED">
                                    <w:rPr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proofErr w:type="gramEnd"/>
                                  <w:r w:rsidR="004665ED" w:rsidRP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 y como se van desarrollando su propia lengua y  </w:t>
                                  </w:r>
                                  <w:r w:rsid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cómo van </w:t>
                                  </w:r>
                                  <w:r w:rsidR="004665ED" w:rsidRPr="004665ED">
                                    <w:rPr>
                                      <w:sz w:val="28"/>
                                      <w:szCs w:val="28"/>
                                    </w:rPr>
                                    <w:t xml:space="preserve">dejando sus tradiciones </w:t>
                                  </w:r>
                                  <w:r w:rsidR="004665ED">
                                    <w:rPr>
                                      <w:sz w:val="28"/>
                                      <w:szCs w:val="28"/>
                                    </w:rPr>
                                    <w:t>con los nuevos avances.</w:t>
                                  </w:r>
                                </w:p>
                              </w:tc>
                            </w:tr>
                            <w:tr w:rsidR="00EE5D42" w14:paraId="03305E1F" w14:textId="77777777" w:rsidTr="007F426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3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49" w:type="dxa"/>
                                </w:tcPr>
                                <w:p w14:paraId="1A58EEEB" w14:textId="77777777" w:rsidR="00EE5D42" w:rsidRDefault="00EE5D42"/>
                              </w:tc>
                              <w:tc>
                                <w:tcPr>
                                  <w:tcW w:w="5977" w:type="dxa"/>
                                </w:tcPr>
                                <w:p w14:paraId="60D269C4" w14:textId="77777777" w:rsidR="00EE5D42" w:rsidRDefault="00EE5D42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E5D42" w14:paraId="39F51119" w14:textId="77777777" w:rsidTr="007F426C">
                              <w:trPr>
                                <w:trHeight w:val="268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49" w:type="dxa"/>
                                </w:tcPr>
                                <w:p w14:paraId="71977D89" w14:textId="77777777" w:rsidR="00EE5D42" w:rsidRDefault="00EE5D42"/>
                              </w:tc>
                              <w:tc>
                                <w:tcPr>
                                  <w:tcW w:w="5977" w:type="dxa"/>
                                </w:tcPr>
                                <w:p w14:paraId="5BB7EC67" w14:textId="77777777" w:rsidR="00EE5D42" w:rsidRDefault="00EE5D4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709C2B62" w14:textId="77777777" w:rsidR="002E2115" w:rsidRDefault="002E2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98897" id="Cuadro de texto 3" o:spid="_x0000_s1031" type="#_x0000_t202" style="position:absolute;margin-left:0;margin-top:16.15pt;width:615pt;height:673.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" filled="f" stroked="f" strokeweight=".5pt">
                <v:textbox>
                  <w:txbxContent>
                    <w:p w14:paraId="7672F6C9" w14:textId="77777777" w:rsidR="007F426C" w:rsidRDefault="007F426C"/>
                    <w:tbl>
                      <w:tblPr>
                        <w:tblStyle w:val="Tablaconcuadrcula6concolores-nfasis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  <w:gridCol w:w="5977"/>
                      </w:tblGrid>
                      <w:tr w:rsidR="00EE5D42" w14:paraId="097D04FF" w14:textId="77777777" w:rsidTr="007F426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49" w:type="dxa"/>
                          </w:tcPr>
                          <w:p w14:paraId="292E5C00" w14:textId="6D905C57" w:rsidR="00EE5D42" w:rsidRPr="007F426C" w:rsidRDefault="007F426C" w:rsidP="007F42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F426C">
                              <w:rPr>
                                <w:sz w:val="32"/>
                                <w:szCs w:val="32"/>
                              </w:rPr>
                              <w:t>propuesta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14:paraId="728C3FEB" w14:textId="32270584" w:rsidR="00EE5D42" w:rsidRPr="007F426C" w:rsidRDefault="007F426C" w:rsidP="007F426C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32"/>
                                <w:szCs w:val="32"/>
                              </w:rPr>
                            </w:pPr>
                            <w:r w:rsidRPr="007F426C">
                              <w:rPr>
                                <w:sz w:val="32"/>
                                <w:szCs w:val="32"/>
                              </w:rPr>
                              <w:t>Punto de vista</w:t>
                            </w:r>
                          </w:p>
                        </w:tc>
                      </w:tr>
                      <w:tr w:rsidR="00EE5D42" w14:paraId="45F6C7F7" w14:textId="77777777" w:rsidTr="007F42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49" w:type="dxa"/>
                          </w:tcPr>
                          <w:p w14:paraId="42CD1A40" w14:textId="77777777" w:rsidR="00EE5D42" w:rsidRPr="00C943BF" w:rsidRDefault="007F42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sz w:val="28"/>
                                <w:szCs w:val="28"/>
                              </w:rPr>
                              <w:t>Educación incluyente y critica de la interpretación conformista sobre la perdida de diversidad</w:t>
                            </w:r>
                          </w:p>
                          <w:p w14:paraId="1C357066" w14:textId="5200B310" w:rsidR="00C943BF" w:rsidRPr="00C943BF" w:rsidRDefault="00C943BF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A finales del siglo xx se desarrollaron propuestas a favor de las poblaciones indígenas que enfatizaron la vinculación de socioculturales y etnolingüísticos con democratización y derecho la transformación de la calidad de la educación y la lucha contra la pobreza.                                                                     En tiempos de cambios las escuelas indígenas pueden ver aumentadas inquietudes en la obtención de resultados toman en cuenta drásticas y peculiaridades condiciones rurales.             Las diversidades culturales y socioculturales se simplifican </w:t>
                            </w:r>
                            <w:proofErr w:type="spellStart"/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interpretan por oposiciones con sentido reduccionista como el modo urbano vs el mundo rural.                                                          Ken hale da pie a la controversia lingüística en torno a la naturaleza de la diversidad y su impacto en la perdida de las lenguas.                                                                                                          La </w:t>
                            </w:r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pérdida</w:t>
                            </w:r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es parte de un proceso intercultural de diversidad cultural que agobian las lenguas y culturas.                                     Es importante imaginar los peligros que genera la perdida de diversidad biológica en el planeta tratar de comprender los peligros en la perdida de la diversidad lingüística.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14:paraId="43A51A68" w14:textId="77777777" w:rsidR="00EE5D42" w:rsidRDefault="007F426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F42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Educación incluyente y critica de la interpretación conformista sobre la perdida de diversidad</w:t>
                            </w:r>
                          </w:p>
                          <w:p w14:paraId="7782AEC1" w14:textId="77777777" w:rsidR="00C943BF" w:rsidRPr="00C943BF" w:rsidRDefault="00C943BF" w:rsidP="00C943B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sz w:val="28"/>
                                <w:szCs w:val="28"/>
                              </w:rPr>
                              <w:t>Debemos tener una modelo ético y vocación para conocer y valorar la importancia de la diversidad de culturas que existen en la actualidad y desde tiempos atrás que encontramos en nuestro planeta.</w:t>
                            </w:r>
                          </w:p>
                          <w:p w14:paraId="4925B0A7" w14:textId="09803E1B" w:rsidR="00C943BF" w:rsidRPr="007F426C" w:rsidRDefault="00C943BF" w:rsidP="00C943B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sz w:val="28"/>
                                <w:szCs w:val="28"/>
                              </w:rPr>
                              <w:t>Debemos valorar la diversidad de lenguaje que existe actualmente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EE5D42" w:rsidRPr="004665ED" w14:paraId="020F2707" w14:textId="77777777" w:rsidTr="00C943BF">
                        <w:trPr>
                          <w:trHeight w:val="20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49" w:type="dxa"/>
                          </w:tcPr>
                          <w:p w14:paraId="2034E719" w14:textId="77777777" w:rsidR="00EE5D42" w:rsidRDefault="00C943BF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sz w:val="28"/>
                                <w:szCs w:val="28"/>
                              </w:rPr>
                              <w:t>Lectura demográfica de la diversidad</w:t>
                            </w:r>
                          </w:p>
                          <w:p w14:paraId="27622BA5" w14:textId="5988D6CC" w:rsidR="00C943BF" w:rsidRPr="00C943BF" w:rsidRDefault="00C943BF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C943B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La di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versidad es desentrañada a través de la demográfica para fines educativos.                                                 Xavier Albó llama la atención sobre tendencias sobre el desarrollo cuantitativo de la población del hablante en idiomas latinoamericanos que permiten formular predicciones.                                                         </w:t>
                            </w:r>
                            <w:r w:rsidR="009716C6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La comparación de las tendencias revela que las comunidades integran sistemas   </w:t>
                            </w:r>
                          </w:p>
                        </w:tc>
                        <w:tc>
                          <w:tcPr>
                            <w:tcW w:w="5977" w:type="dxa"/>
                          </w:tcPr>
                          <w:p w14:paraId="7C311568" w14:textId="3AEF9EEC" w:rsidR="00C943BF" w:rsidRPr="004665ED" w:rsidRDefault="009716C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4665ED">
                              <w:rPr>
                                <w:sz w:val="28"/>
                                <w:szCs w:val="28"/>
                              </w:rPr>
                              <w:t xml:space="preserve">Nos habla de </w:t>
                            </w:r>
                            <w:r w:rsidR="004665ED" w:rsidRPr="004665ED">
                              <w:rPr>
                                <w:sz w:val="28"/>
                                <w:szCs w:val="28"/>
                              </w:rPr>
                              <w:t xml:space="preserve">cómo se ha dado importancia a la lengua y la cultura a costa de </w:t>
                            </w:r>
                            <w:proofErr w:type="gramStart"/>
                            <w:r w:rsidR="004665ED">
                              <w:rPr>
                                <w:sz w:val="28"/>
                                <w:szCs w:val="28"/>
                              </w:rPr>
                              <w:t xml:space="preserve">evoluciones </w:t>
                            </w:r>
                            <w:r w:rsidR="004665ED" w:rsidRPr="004665ED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4665ED" w:rsidRPr="004665ED">
                              <w:rPr>
                                <w:sz w:val="28"/>
                                <w:szCs w:val="28"/>
                              </w:rPr>
                              <w:t xml:space="preserve"> y como se van desarrollando su propia lengua y  </w:t>
                            </w:r>
                            <w:r w:rsidR="004665ED">
                              <w:rPr>
                                <w:sz w:val="28"/>
                                <w:szCs w:val="28"/>
                              </w:rPr>
                              <w:t xml:space="preserve">cómo van </w:t>
                            </w:r>
                            <w:r w:rsidR="004665ED" w:rsidRPr="004665ED">
                              <w:rPr>
                                <w:sz w:val="28"/>
                                <w:szCs w:val="28"/>
                              </w:rPr>
                              <w:t xml:space="preserve">dejando sus tradiciones </w:t>
                            </w:r>
                            <w:r w:rsidR="004665ED">
                              <w:rPr>
                                <w:sz w:val="28"/>
                                <w:szCs w:val="28"/>
                              </w:rPr>
                              <w:t>con los nuevos avances.</w:t>
                            </w:r>
                          </w:p>
                        </w:tc>
                      </w:tr>
                      <w:tr w:rsidR="00EE5D42" w14:paraId="03305E1F" w14:textId="77777777" w:rsidTr="007F426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3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49" w:type="dxa"/>
                          </w:tcPr>
                          <w:p w14:paraId="1A58EEEB" w14:textId="77777777" w:rsidR="00EE5D42" w:rsidRDefault="00EE5D42"/>
                        </w:tc>
                        <w:tc>
                          <w:tcPr>
                            <w:tcW w:w="5977" w:type="dxa"/>
                          </w:tcPr>
                          <w:p w14:paraId="60D269C4" w14:textId="77777777" w:rsidR="00EE5D42" w:rsidRDefault="00EE5D4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E5D42" w14:paraId="39F51119" w14:textId="77777777" w:rsidTr="007F426C">
                        <w:trPr>
                          <w:trHeight w:val="268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49" w:type="dxa"/>
                          </w:tcPr>
                          <w:p w14:paraId="71977D89" w14:textId="77777777" w:rsidR="00EE5D42" w:rsidRDefault="00EE5D42"/>
                        </w:tc>
                        <w:tc>
                          <w:tcPr>
                            <w:tcW w:w="5977" w:type="dxa"/>
                          </w:tcPr>
                          <w:p w14:paraId="5BB7EC67" w14:textId="77777777" w:rsidR="00EE5D42" w:rsidRDefault="00EE5D4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709C2B62" w14:textId="77777777" w:rsidR="002E2115" w:rsidRDefault="002E2115"/>
                  </w:txbxContent>
                </v:textbox>
                <w10:wrap anchorx="page"/>
              </v:shape>
            </w:pict>
          </mc:Fallback>
        </mc:AlternateContent>
      </w:r>
    </w:p>
    <w:p w14:paraId="20CC8377" w14:textId="60DC37D5" w:rsidR="009716C6" w:rsidRPr="009716C6" w:rsidRDefault="009716C6" w:rsidP="009716C6"/>
    <w:p w14:paraId="7B56CAC8" w14:textId="4BAE43C8" w:rsidR="009716C6" w:rsidRPr="009716C6" w:rsidRDefault="009716C6" w:rsidP="009716C6"/>
    <w:p w14:paraId="776B237F" w14:textId="643DC927" w:rsidR="009716C6" w:rsidRPr="009716C6" w:rsidRDefault="009716C6" w:rsidP="009716C6"/>
    <w:p w14:paraId="315ACD7D" w14:textId="0389F29B" w:rsidR="009716C6" w:rsidRPr="009716C6" w:rsidRDefault="009716C6" w:rsidP="009716C6"/>
    <w:p w14:paraId="5E2CCEA4" w14:textId="78005B77" w:rsidR="009716C6" w:rsidRPr="009716C6" w:rsidRDefault="009716C6" w:rsidP="009716C6"/>
    <w:p w14:paraId="40C1E808" w14:textId="69EF41DC" w:rsidR="009716C6" w:rsidRPr="009716C6" w:rsidRDefault="009716C6" w:rsidP="009716C6"/>
    <w:p w14:paraId="1ABE95A7" w14:textId="1C7FDD65" w:rsidR="009716C6" w:rsidRPr="009716C6" w:rsidRDefault="009716C6" w:rsidP="009716C6"/>
    <w:p w14:paraId="705D283B" w14:textId="40DD56A5" w:rsidR="009716C6" w:rsidRPr="009716C6" w:rsidRDefault="009716C6" w:rsidP="009716C6"/>
    <w:p w14:paraId="0651D17C" w14:textId="0BDE37D9" w:rsidR="009716C6" w:rsidRPr="009716C6" w:rsidRDefault="009716C6" w:rsidP="009716C6"/>
    <w:p w14:paraId="67114357" w14:textId="1C5153B3" w:rsidR="009716C6" w:rsidRPr="009716C6" w:rsidRDefault="009716C6" w:rsidP="009716C6"/>
    <w:p w14:paraId="7704AD80" w14:textId="0980FF8A" w:rsidR="009716C6" w:rsidRPr="009716C6" w:rsidRDefault="009716C6" w:rsidP="009716C6"/>
    <w:p w14:paraId="34D8044F" w14:textId="5E2A26DC" w:rsidR="009716C6" w:rsidRPr="009716C6" w:rsidRDefault="009716C6" w:rsidP="009716C6"/>
    <w:p w14:paraId="1221AFCC" w14:textId="3161F1D6" w:rsidR="009716C6" w:rsidRPr="009716C6" w:rsidRDefault="009716C6" w:rsidP="009716C6"/>
    <w:p w14:paraId="15877896" w14:textId="0929BDCE" w:rsidR="009716C6" w:rsidRPr="009716C6" w:rsidRDefault="009716C6" w:rsidP="009716C6"/>
    <w:p w14:paraId="21633ADD" w14:textId="76D5FE82" w:rsidR="009716C6" w:rsidRPr="009716C6" w:rsidRDefault="009716C6" w:rsidP="009716C6"/>
    <w:p w14:paraId="0A91B359" w14:textId="129A0306" w:rsidR="009716C6" w:rsidRPr="009716C6" w:rsidRDefault="009716C6" w:rsidP="009716C6"/>
    <w:p w14:paraId="3972BEAB" w14:textId="02097686" w:rsidR="009716C6" w:rsidRPr="009716C6" w:rsidRDefault="009716C6" w:rsidP="009716C6"/>
    <w:p w14:paraId="4014A256" w14:textId="72A484CC" w:rsidR="009716C6" w:rsidRPr="009716C6" w:rsidRDefault="009716C6" w:rsidP="009716C6"/>
    <w:p w14:paraId="2C8788DC" w14:textId="669A3869" w:rsidR="009716C6" w:rsidRPr="009716C6" w:rsidRDefault="009716C6" w:rsidP="009716C6"/>
    <w:p w14:paraId="457301D7" w14:textId="681A6BF2" w:rsidR="009716C6" w:rsidRPr="009716C6" w:rsidRDefault="009716C6" w:rsidP="009716C6"/>
    <w:p w14:paraId="58AC10C2" w14:textId="5C0BC741" w:rsidR="009716C6" w:rsidRPr="009716C6" w:rsidRDefault="009716C6" w:rsidP="009716C6"/>
    <w:p w14:paraId="4AE7EE37" w14:textId="3EAA9982" w:rsidR="009716C6" w:rsidRDefault="009716C6" w:rsidP="009716C6"/>
    <w:p w14:paraId="31CFEECA" w14:textId="45E4D2B5" w:rsidR="009716C6" w:rsidRDefault="009716C6" w:rsidP="009716C6">
      <w:pPr>
        <w:jc w:val="center"/>
      </w:pPr>
    </w:p>
    <w:p w14:paraId="76743DD2" w14:textId="77777777" w:rsidR="009716C6" w:rsidRDefault="009716C6">
      <w:r>
        <w:br w:type="page"/>
      </w:r>
    </w:p>
    <w:p w14:paraId="0CE4F056" w14:textId="469F3AE2" w:rsidR="009716C6" w:rsidRPr="009716C6" w:rsidRDefault="009716C6" w:rsidP="009716C6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2D04F" wp14:editId="1DC3BD20">
                <wp:simplePos x="0" y="0"/>
                <wp:positionH relativeFrom="page">
                  <wp:align>right</wp:align>
                </wp:positionH>
                <wp:positionV relativeFrom="paragraph">
                  <wp:posOffset>-880745</wp:posOffset>
                </wp:positionV>
                <wp:extent cx="7753350" cy="100012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000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aconcuadrcula6concolores-nfasis1"/>
                              <w:tblW w:w="118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935"/>
                              <w:gridCol w:w="5935"/>
                            </w:tblGrid>
                            <w:tr w:rsidR="009716C6" w14:paraId="2DF08623" w14:textId="77777777" w:rsidTr="009716C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35" w:type="dxa"/>
                                </w:tcPr>
                                <w:p w14:paraId="55D034DC" w14:textId="01F1DBED" w:rsidR="009716C6" w:rsidRPr="009716C6" w:rsidRDefault="009716C6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9716C6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Multidireccionales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que más que sustituir lenguas minoritarias y minorizadas aptan por nuevas estrategias de distribución funcional y reproducción.                                                                                                                                                 los grupos lingüísticos de Oaxaca confirman la existencia de aspectos socioeconómicos sobre la funcionalidad de las lenguas y que consideran las actividades socioeconómicas como principal causa de diversidad. 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2F88CB6B" w14:textId="77777777" w:rsidR="009716C6" w:rsidRDefault="009716C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9716C6" w14:paraId="4D85499C" w14:textId="77777777" w:rsidTr="005D39D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93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35" w:type="dxa"/>
                                </w:tcPr>
                                <w:p w14:paraId="7C278A77" w14:textId="77777777" w:rsidR="009716C6" w:rsidRDefault="004665ED">
                                  <w:pPr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4665ED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 xml:space="preserve">Diversidad y conflicto intercultural </w:t>
                                  </w:r>
                                </w:p>
                                <w:p w14:paraId="7F56C461" w14:textId="647F9EA6" w:rsidR="004665ED" w:rsidRPr="004665ED" w:rsidRDefault="004665ED">
                                  <w:pPr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4665ED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Las investigaciones del </w:t>
                                  </w:r>
                                  <w:r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contacto lingüístico se han limitado por aspectos semíticos. Pragmáticos, textuales y hasta prosódicos del contacto lingüístico se han dejado de lado.                                           La integración de elementos nuevos provoca la restauración de todo el sistema por eso las lenguas los rechazan y permiten influencias compartibles.                                                                                                                                   Las reformas educativas han asumido la atopia de la sociedad multicultural </w:t>
                                  </w:r>
                                  <w:r w:rsidR="005D39D8"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armónica</w:t>
                                  </w:r>
                                  <w:r>
                                    <w:rPr>
                                      <w:rFonts w:cstheme="minorHAnsi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y democrática    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25C2D505" w14:textId="77777777" w:rsidR="009716C6" w:rsidRDefault="004665ED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665E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Diversidad y conflicto intercultural</w:t>
                                  </w:r>
                                  <w:r w:rsidR="005D39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B8AB02" w14:textId="6E7FCC38" w:rsidR="005D39D8" w:rsidRPr="005D39D8" w:rsidRDefault="005D39D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39D8">
                                    <w:rPr>
                                      <w:sz w:val="28"/>
                                      <w:szCs w:val="28"/>
                                    </w:rPr>
                                    <w:t>Se creyó siempre que la diversidad era la causa principal del desacuerdo que llevan a los estados a la perdida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9716C6" w14:paraId="4CBCCA62" w14:textId="77777777" w:rsidTr="009716C6">
                              <w:trPr>
                                <w:trHeight w:val="51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35" w:type="dxa"/>
                                </w:tcPr>
                                <w:p w14:paraId="7B712157" w14:textId="77777777" w:rsidR="009716C6" w:rsidRDefault="005D39D8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5D39D8">
                                    <w:rPr>
                                      <w:sz w:val="28"/>
                                      <w:szCs w:val="28"/>
                                    </w:rPr>
                                    <w:t>Diversidad y desarrollo educativo</w:t>
                                  </w:r>
                                </w:p>
                                <w:p w14:paraId="490D73F8" w14:textId="77777777" w:rsidR="005D39D8" w:rsidRDefault="005D39D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39D8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La formación de alumnos y profesores en el marco multiculturalidad no es la excepción para educadores sobre la educación sensata a la diversidad.                                                                                                                                                                       Las políticas culturales y educativas a corto plazo dependen de negociaciones políticas.                    Las discusiones de paradigmas crean la ilusión de desaparición de viejos problemas por operar nuevas estrategias y modelos educativos. </w:t>
                                  </w: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                                            La diversidad de orientaciones y métodos reflejan la voluntad para el futuro de la sociedad </w:t>
                                  </w:r>
                                  <w:proofErr w:type="spellStart"/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proofErr w:type="spellEnd"/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 identidad indígena.</w:t>
                                  </w:r>
                                </w:p>
                                <w:p w14:paraId="0D65D65E" w14:textId="53C820DD" w:rsidR="005D39D8" w:rsidRPr="005D39D8" w:rsidRDefault="005D39D8">
                                  <w:pP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La importancia de trabajar con una perspectiva de proceso complejo y articulado en varias dimensiones educativas </w:t>
                                  </w:r>
                                  <w:r w:rsidR="00661DEB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relacionadas es causa del éxito en crisis de la educación general.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388BF04F" w14:textId="77777777" w:rsidR="009716C6" w:rsidRDefault="005D39D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5D39D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Diversidad y desarrollo educativo</w:t>
                                  </w:r>
                                </w:p>
                                <w:p w14:paraId="65E6D327" w14:textId="77777777" w:rsidR="00661DEB" w:rsidRDefault="00661DE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61DEB">
                                    <w:rPr>
                                      <w:sz w:val="28"/>
                                      <w:szCs w:val="28"/>
                                    </w:rPr>
                                    <w:t>Nos habla sobre las nuevas herramientas que se utilizan para la enseñanza y como se cree que la educación ya no es la misma ni tiene el mismo afecto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01C0B281" w14:textId="43C63DD1" w:rsidR="00661DEB" w:rsidRDefault="00661DE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También menciona que debemos estar en costaste aprendizaje ya que actualmente vivimos en muchas actualizaciones y los tiempos van cambiando, pero se sigue basando con la misma idea de que aprendamos. </w:t>
                                  </w:r>
                                </w:p>
                                <w:p w14:paraId="16DD8ED2" w14:textId="03CC3229" w:rsidR="00661DEB" w:rsidRPr="00661DEB" w:rsidRDefault="00661DE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Como se van construyendo diferentes modelos para las futuras generaciones con nuevos objetivos, y necesidades </w:t>
                                  </w:r>
                                </w:p>
                              </w:tc>
                            </w:tr>
                          </w:tbl>
                          <w:p w14:paraId="5619168B" w14:textId="77777777" w:rsidR="009716C6" w:rsidRDefault="00971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2D04F" id="Cuadro de texto 4" o:spid="_x0000_s1032" type="#_x0000_t202" style="position:absolute;left:0;text-align:left;margin-left:559.3pt;margin-top:-69.35pt;width:610.5pt;height:787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" fillcolor="white [3201]" strokeweight=".5pt">
                <v:textbox>
                  <w:txbxContent>
                    <w:tbl>
                      <w:tblPr>
                        <w:tblStyle w:val="Tablaconcuadrcula6concolores-nfasis1"/>
                        <w:tblW w:w="11870" w:type="dxa"/>
                        <w:tblLook w:val="04A0" w:firstRow="1" w:lastRow="0" w:firstColumn="1" w:lastColumn="0" w:noHBand="0" w:noVBand="1"/>
                      </w:tblPr>
                      <w:tblGrid>
                        <w:gridCol w:w="5935"/>
                        <w:gridCol w:w="5935"/>
                      </w:tblGrid>
                      <w:tr w:rsidR="009716C6" w14:paraId="2DF08623" w14:textId="77777777" w:rsidTr="009716C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35" w:type="dxa"/>
                          </w:tcPr>
                          <w:p w14:paraId="55D034DC" w14:textId="01F1DBED" w:rsidR="009716C6" w:rsidRPr="009716C6" w:rsidRDefault="009716C6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9716C6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Multidireccionales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que más que sustituir lenguas minoritarias y minorizadas aptan por nuevas estrategias de distribución funcional y reproducción.                                                                                                                                                 los grupos lingüísticos de Oaxaca confirman la existencia de aspectos socioeconómicos sobre la funcionalidad de las lenguas y que consideran las actividades socioeconómicas como principal causa de diversidad. 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2F88CB6B" w14:textId="77777777" w:rsidR="009716C6" w:rsidRDefault="009716C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9716C6" w14:paraId="4D85499C" w14:textId="77777777" w:rsidTr="005D39D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93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35" w:type="dxa"/>
                          </w:tcPr>
                          <w:p w14:paraId="7C278A77" w14:textId="77777777" w:rsidR="009716C6" w:rsidRDefault="004665ED">
                            <w:pPr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4665E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Diversidad y conflicto intercultural </w:t>
                            </w:r>
                          </w:p>
                          <w:p w14:paraId="7F56C461" w14:textId="647F9EA6" w:rsidR="004665ED" w:rsidRPr="004665ED" w:rsidRDefault="004665ED">
                            <w:pPr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4665ED"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Las investigaciones del </w:t>
                            </w:r>
                            <w:r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contacto lingüístico se han limitado por aspectos semíticos. Pragmáticos, textuales y hasta prosódicos del contacto lingüístico se han dejado de lado.                                           La integración de elementos nuevos provoca la restauración de todo el sistema por eso las lenguas los rechazan y permiten influencias compartibles.                                                                                                                                   Las reformas educativas han asumido la atopia de la sociedad multicultural </w:t>
                            </w:r>
                            <w:r w:rsidR="005D39D8"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armónica</w:t>
                            </w:r>
                            <w:r>
                              <w:rPr>
                                <w:rFonts w:cstheme="minorHAnsi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y democrática    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25C2D505" w14:textId="77777777" w:rsidR="009716C6" w:rsidRDefault="004665ED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665E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Diversidad y conflicto intercultural</w:t>
                            </w:r>
                            <w:r w:rsidR="005D39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</w:p>
                          <w:p w14:paraId="3EB8AB02" w14:textId="6E7FCC38" w:rsidR="005D39D8" w:rsidRPr="005D39D8" w:rsidRDefault="005D39D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5D39D8">
                              <w:rPr>
                                <w:sz w:val="28"/>
                                <w:szCs w:val="28"/>
                              </w:rPr>
                              <w:t>Se creyó siempre que la diversidad era la causa principal del desacuerdo que llevan a los estados a la perdida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9716C6" w14:paraId="4CBCCA62" w14:textId="77777777" w:rsidTr="009716C6">
                        <w:trPr>
                          <w:trHeight w:val="51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35" w:type="dxa"/>
                          </w:tcPr>
                          <w:p w14:paraId="7B712157" w14:textId="77777777" w:rsidR="009716C6" w:rsidRDefault="005D39D8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5D39D8">
                              <w:rPr>
                                <w:sz w:val="28"/>
                                <w:szCs w:val="28"/>
                              </w:rPr>
                              <w:t>Diversidad y desarrollo educativo</w:t>
                            </w:r>
                          </w:p>
                          <w:p w14:paraId="490D73F8" w14:textId="77777777" w:rsidR="005D39D8" w:rsidRDefault="005D39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39D8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La formación de alumnos y profesores en el marco multiculturalidad no es la excepción para educadores sobre la educación sensata a la diversidad.                                                                                                                                                                       Las políticas culturales y educativas a corto plazo dependen de negociaciones políticas.                    Las discusiones de paradigmas crean la ilusión de desaparición de viejos problemas por operar nuevas estrategias y modelos educativos. 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                                          La diversidad de orientaciones y métodos reflejan la voluntad para el futuro de la sociedad </w:t>
                            </w:r>
                            <w:proofErr w:type="spellStart"/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y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identidad indígena.</w:t>
                            </w:r>
                          </w:p>
                          <w:p w14:paraId="0D65D65E" w14:textId="53C820DD" w:rsidR="005D39D8" w:rsidRPr="005D39D8" w:rsidRDefault="005D39D8">
                            <w:pP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La importancia de trabajar con una perspectiva de proceso complejo y articulado en varias dimensiones educativas </w:t>
                            </w:r>
                            <w:r w:rsidR="00661DEB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relacionadas es causa del éxito en crisis de la educación general.                                         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388BF04F" w14:textId="77777777" w:rsidR="009716C6" w:rsidRDefault="005D39D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39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Diversidad y desarrollo educativo</w:t>
                            </w:r>
                          </w:p>
                          <w:p w14:paraId="65E6D327" w14:textId="77777777" w:rsidR="00661DEB" w:rsidRDefault="00661DE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 w:rsidRPr="00661DEB">
                              <w:rPr>
                                <w:sz w:val="28"/>
                                <w:szCs w:val="28"/>
                              </w:rPr>
                              <w:t>Nos habla sobre las nuevas herramientas que se utilizan para la enseñanza y como se cree que la educación ya no es la misma ni tiene el mismo afecto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C0B281" w14:textId="43C63DD1" w:rsidR="00661DEB" w:rsidRDefault="00661DE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También menciona que debemos estar en costaste aprendizaje ya que actualmente vivimos en muchas actualizaciones y los tiempos van cambiando, pero se sigue basando con la misma idea de que aprendamos. </w:t>
                            </w:r>
                          </w:p>
                          <w:p w14:paraId="16DD8ED2" w14:textId="03CC3229" w:rsidR="00661DEB" w:rsidRPr="00661DEB" w:rsidRDefault="00661DE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Como se van construyendo diferentes modelos para las futuras generaciones con nuevos objetivos, y necesidades </w:t>
                            </w:r>
                          </w:p>
                        </w:tc>
                      </w:tr>
                    </w:tbl>
                    <w:p w14:paraId="5619168B" w14:textId="77777777" w:rsidR="009716C6" w:rsidRDefault="009716C6"/>
                  </w:txbxContent>
                </v:textbox>
                <w10:wrap anchorx="page"/>
              </v:shape>
            </w:pict>
          </mc:Fallback>
        </mc:AlternateContent>
      </w:r>
    </w:p>
    <w:sectPr w:rsidR="009716C6" w:rsidRPr="009716C6" w:rsidSect="00661DE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E3CBA" w14:textId="77777777" w:rsidR="00C634E1" w:rsidRDefault="00C634E1" w:rsidP="009716C6">
      <w:pPr>
        <w:spacing w:after="0" w:line="240" w:lineRule="auto"/>
      </w:pPr>
      <w:r>
        <w:separator/>
      </w:r>
    </w:p>
  </w:endnote>
  <w:endnote w:type="continuationSeparator" w:id="0">
    <w:p w14:paraId="6A1838FF" w14:textId="77777777" w:rsidR="00C634E1" w:rsidRDefault="00C634E1" w:rsidP="0097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gain_Demo">
    <w:panose1 w:val="02000503000000000000"/>
    <w:charset w:val="00"/>
    <w:family w:val="auto"/>
    <w:pitch w:val="variable"/>
    <w:sig w:usb0="80000003" w:usb1="1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74B3B" w14:textId="77777777" w:rsidR="00C634E1" w:rsidRDefault="00C634E1" w:rsidP="009716C6">
      <w:pPr>
        <w:spacing w:after="0" w:line="240" w:lineRule="auto"/>
      </w:pPr>
      <w:r>
        <w:separator/>
      </w:r>
    </w:p>
  </w:footnote>
  <w:footnote w:type="continuationSeparator" w:id="0">
    <w:p w14:paraId="2933DC63" w14:textId="77777777" w:rsidR="00C634E1" w:rsidRDefault="00C634E1" w:rsidP="00971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7"/>
    <w:rsid w:val="002E2115"/>
    <w:rsid w:val="004665ED"/>
    <w:rsid w:val="005D39D8"/>
    <w:rsid w:val="00661DEB"/>
    <w:rsid w:val="007F426C"/>
    <w:rsid w:val="008B0358"/>
    <w:rsid w:val="009716C6"/>
    <w:rsid w:val="00BE121B"/>
    <w:rsid w:val="00C634E1"/>
    <w:rsid w:val="00C943BF"/>
    <w:rsid w:val="00D0056D"/>
    <w:rsid w:val="00EE5D42"/>
    <w:rsid w:val="00F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52D1"/>
  <w15:chartTrackingRefBased/>
  <w15:docId w15:val="{A84B5FBD-03B4-4DD2-8A09-2A8E1717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EE5D4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1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C6"/>
  </w:style>
  <w:style w:type="paragraph" w:styleId="Piedepgina">
    <w:name w:val="footer"/>
    <w:basedOn w:val="Normal"/>
    <w:link w:val="PiedepginaCar"/>
    <w:uiPriority w:val="99"/>
    <w:unhideWhenUsed/>
    <w:rsid w:val="00971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C6"/>
  </w:style>
  <w:style w:type="paragraph" w:styleId="Sinespaciado">
    <w:name w:val="No Spacing"/>
    <w:link w:val="SinespaciadoCar"/>
    <w:uiPriority w:val="1"/>
    <w:qFormat/>
    <w:rsid w:val="00661DE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1DEB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normal de educación preescolar 1 “D”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sujeto y su formacion personal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YESSENIA MONTOYA SILVA</dc:creator>
  <cp:keywords/>
  <dc:description/>
  <cp:lastModifiedBy>JULIA YESSENIA MONTOYA SILVA</cp:lastModifiedBy>
  <cp:revision>1</cp:revision>
  <dcterms:created xsi:type="dcterms:W3CDTF">2020-11-24T05:50:00Z</dcterms:created>
  <dcterms:modified xsi:type="dcterms:W3CDTF">2020-11-24T07:41:00Z</dcterms:modified>
</cp:coreProperties>
</file>