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28" w:rsidRDefault="0068448F">
      <w:r w:rsidRPr="0068448F">
        <w:rPr>
          <w:noProof/>
          <w:lang w:eastAsia="es-ES"/>
        </w:rPr>
        <mc:AlternateContent>
          <mc:Choice Requires="wps">
            <w:drawing>
              <wp:anchor distT="0" distB="0" distL="114300" distR="114300" simplePos="0" relativeHeight="251661312" behindDoc="0" locked="0" layoutInCell="1" allowOverlap="1" wp14:anchorId="5D050FAE" wp14:editId="26376FDD">
                <wp:simplePos x="0" y="0"/>
                <wp:positionH relativeFrom="margin">
                  <wp:align>right</wp:align>
                </wp:positionH>
                <wp:positionV relativeFrom="paragraph">
                  <wp:posOffset>-281482</wp:posOffset>
                </wp:positionV>
                <wp:extent cx="8888730" cy="566002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8730" cy="56600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8448F" w:rsidRDefault="0068448F" w:rsidP="0068448F">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r>
                              <w:rPr>
                                <w:rFonts w:eastAsia="Calibri"/>
                                <w:b/>
                                <w:bCs/>
                                <w:color w:val="000000" w:themeColor="text1"/>
                                <w:kern w:val="24"/>
                                <w:sz w:val="48"/>
                                <w:szCs w:val="48"/>
                                <w:lang w:val="es-MX"/>
                              </w:rPr>
                              <w:t>LICENCIATURA EN EDUCACION PREESCOLAR</w:t>
                            </w:r>
                          </w:p>
                          <w:p w:rsidR="00DF2B48" w:rsidRDefault="00DF2B48" w:rsidP="0068448F">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p>
                          <w:p w:rsidR="0068448F" w:rsidRPr="00DF2B48" w:rsidRDefault="00DF2B48" w:rsidP="00DF2B48">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r w:rsidRPr="00DF2B48">
                              <w:rPr>
                                <w:noProof/>
                              </w:rPr>
                              <w:drawing>
                                <wp:inline distT="0" distB="0" distL="0" distR="0" wp14:anchorId="1D11132D" wp14:editId="33197107">
                                  <wp:extent cx="2890250" cy="1896374"/>
                                  <wp:effectExtent l="0" t="0" r="0" b="8890"/>
                                  <wp:docPr id="7" name="Imagen 4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0"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0250" cy="18963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rPr>
                              <w:t>Propuesta: Atender la diversidad y la pluricultural.</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lang w:val="es-MX"/>
                              </w:rPr>
                              <w:t>Curso: El sujeto y su formación profesional</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lang w:val="es-MX"/>
                              </w:rPr>
                              <w:t>Titular: Narciso Rodríguez Espinosa</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lang w:val="es-MX"/>
                              </w:rPr>
                            </w:pPr>
                            <w:r>
                              <w:rPr>
                                <w:rFonts w:eastAsia="Calibri"/>
                                <w:color w:val="000000" w:themeColor="text1"/>
                                <w:kern w:val="24"/>
                                <w:sz w:val="48"/>
                                <w:szCs w:val="48"/>
                                <w:lang w:val="es-MX"/>
                              </w:rPr>
                              <w:t>Alumna: Evelin Medina Ramírez</w:t>
                            </w:r>
                          </w:p>
                          <w:p w:rsidR="0068448F" w:rsidRPr="0068448F" w:rsidRDefault="0068448F"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lang w:val="es-MX"/>
                              </w:rPr>
                            </w:pPr>
                          </w:p>
                          <w:p w:rsidR="0068448F" w:rsidRDefault="0068448F" w:rsidP="0068448F">
                            <w:pPr>
                              <w:pStyle w:val="NormalWeb"/>
                              <w:kinsoku w:val="0"/>
                              <w:overflowPunct w:val="0"/>
                              <w:spacing w:before="0" w:beforeAutospacing="0" w:after="0" w:afterAutospacing="0"/>
                              <w:jc w:val="center"/>
                              <w:textAlignment w:val="baseline"/>
                            </w:pPr>
                            <w:r>
                              <w:rPr>
                                <w:rFonts w:eastAsia="Calibri"/>
                                <w:color w:val="000000" w:themeColor="text1"/>
                                <w:kern w:val="24"/>
                                <w:sz w:val="48"/>
                                <w:szCs w:val="48"/>
                                <w:lang w:val="es-MX"/>
                              </w:rPr>
                              <w:t xml:space="preserve"> </w:t>
                            </w:r>
                            <w:r w:rsidR="00DF2B48">
                              <w:rPr>
                                <w:rFonts w:eastAsia="Calibri"/>
                                <w:color w:val="000000" w:themeColor="text1"/>
                                <w:kern w:val="24"/>
                                <w:sz w:val="48"/>
                                <w:szCs w:val="48"/>
                                <w:lang w:val="es-MX"/>
                              </w:rPr>
                              <w:t>Noviembre</w:t>
                            </w:r>
                            <w:r>
                              <w:rPr>
                                <w:rFonts w:eastAsia="Calibri"/>
                                <w:color w:val="000000" w:themeColor="text1"/>
                                <w:kern w:val="24"/>
                                <w:sz w:val="48"/>
                                <w:szCs w:val="48"/>
                                <w:lang w:val="es-MX"/>
                              </w:rPr>
                              <w:t xml:space="preserve"> 2020</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50FAE" id="Rectangle 3" o:spid="_x0000_s1026" style="position:absolute;margin-left:648.7pt;margin-top:-22.15pt;width:699.9pt;height:445.6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" filled="f" fillcolor="#5b9bd5 [3204]" stroked="f" strokecolor="black [3213]">
                <v:shadow color="#e7e6e6 [3214]"/>
                <v:textbox>
                  <w:txbxContent>
                    <w:p w:rsidR="0068448F" w:rsidRDefault="0068448F" w:rsidP="0068448F">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r>
                        <w:rPr>
                          <w:rFonts w:eastAsia="Calibri"/>
                          <w:b/>
                          <w:bCs/>
                          <w:color w:val="000000" w:themeColor="text1"/>
                          <w:kern w:val="24"/>
                          <w:sz w:val="48"/>
                          <w:szCs w:val="48"/>
                          <w:lang w:val="es-MX"/>
                        </w:rPr>
                        <w:t>LICENCIATURA EN EDUCACION PREESCOLAR</w:t>
                      </w:r>
                    </w:p>
                    <w:p w:rsidR="00DF2B48" w:rsidRDefault="00DF2B48" w:rsidP="0068448F">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p>
                    <w:p w:rsidR="0068448F" w:rsidRPr="00DF2B48" w:rsidRDefault="00DF2B48" w:rsidP="00DF2B48">
                      <w:pPr>
                        <w:pStyle w:val="NormalWeb"/>
                        <w:kinsoku w:val="0"/>
                        <w:overflowPunct w:val="0"/>
                        <w:spacing w:before="0" w:beforeAutospacing="0" w:after="0" w:afterAutospacing="0"/>
                        <w:jc w:val="center"/>
                        <w:textAlignment w:val="baseline"/>
                        <w:rPr>
                          <w:rFonts w:eastAsia="Calibri"/>
                          <w:b/>
                          <w:bCs/>
                          <w:color w:val="000000" w:themeColor="text1"/>
                          <w:kern w:val="24"/>
                          <w:sz w:val="48"/>
                          <w:szCs w:val="48"/>
                          <w:lang w:val="es-MX"/>
                        </w:rPr>
                      </w:pPr>
                      <w:r w:rsidRPr="00DF2B48">
                        <w:rPr>
                          <w:noProof/>
                        </w:rPr>
                        <w:drawing>
                          <wp:inline distT="0" distB="0" distL="0" distR="0" wp14:anchorId="1D11132D" wp14:editId="33197107">
                            <wp:extent cx="2890250" cy="1896374"/>
                            <wp:effectExtent l="0" t="0" r="0" b="8890"/>
                            <wp:docPr id="7" name="Imagen 40"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0" descr="Escuela Normal de Educación Preescolar – Desarrollo de competencias  linguistica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90250" cy="18963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rPr>
                        <w:t>Propuesta: Atender la diversidad y la pluricultural.</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lang w:val="es-MX"/>
                        </w:rPr>
                        <w:t>Curso: El sujeto y su formación profesional</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rPr>
                      </w:pPr>
                      <w:r>
                        <w:rPr>
                          <w:rFonts w:eastAsia="Calibri"/>
                          <w:color w:val="000000" w:themeColor="text1"/>
                          <w:kern w:val="24"/>
                          <w:sz w:val="48"/>
                          <w:szCs w:val="48"/>
                          <w:lang w:val="es-MX"/>
                        </w:rPr>
                        <w:t>Titular: Narciso Rodríguez Espinosa</w:t>
                      </w:r>
                    </w:p>
                    <w:p w:rsidR="0068448F" w:rsidRDefault="0068448F" w:rsidP="0068448F">
                      <w:pPr>
                        <w:pStyle w:val="NormalWeb"/>
                        <w:kinsoku w:val="0"/>
                        <w:overflowPunct w:val="0"/>
                        <w:spacing w:before="0" w:beforeAutospacing="0" w:after="0" w:afterAutospacing="0"/>
                        <w:jc w:val="center"/>
                        <w:textAlignment w:val="baseline"/>
                      </w:pPr>
                    </w:p>
                    <w:p w:rsidR="0068448F" w:rsidRDefault="00DF2B48"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lang w:val="es-MX"/>
                        </w:rPr>
                      </w:pPr>
                      <w:r>
                        <w:rPr>
                          <w:rFonts w:eastAsia="Calibri"/>
                          <w:color w:val="000000" w:themeColor="text1"/>
                          <w:kern w:val="24"/>
                          <w:sz w:val="48"/>
                          <w:szCs w:val="48"/>
                          <w:lang w:val="es-MX"/>
                        </w:rPr>
                        <w:t>Alumna: Evelin Medina Ramírez</w:t>
                      </w:r>
                    </w:p>
                    <w:p w:rsidR="0068448F" w:rsidRPr="0068448F" w:rsidRDefault="0068448F" w:rsidP="0068448F">
                      <w:pPr>
                        <w:pStyle w:val="NormalWeb"/>
                        <w:kinsoku w:val="0"/>
                        <w:overflowPunct w:val="0"/>
                        <w:spacing w:before="0" w:beforeAutospacing="0" w:after="0" w:afterAutospacing="0"/>
                        <w:jc w:val="center"/>
                        <w:textAlignment w:val="baseline"/>
                        <w:rPr>
                          <w:rFonts w:eastAsia="Calibri"/>
                          <w:color w:val="000000" w:themeColor="text1"/>
                          <w:kern w:val="24"/>
                          <w:sz w:val="48"/>
                          <w:szCs w:val="48"/>
                          <w:lang w:val="es-MX"/>
                        </w:rPr>
                      </w:pPr>
                    </w:p>
                    <w:p w:rsidR="0068448F" w:rsidRDefault="0068448F" w:rsidP="0068448F">
                      <w:pPr>
                        <w:pStyle w:val="NormalWeb"/>
                        <w:kinsoku w:val="0"/>
                        <w:overflowPunct w:val="0"/>
                        <w:spacing w:before="0" w:beforeAutospacing="0" w:after="0" w:afterAutospacing="0"/>
                        <w:jc w:val="center"/>
                        <w:textAlignment w:val="baseline"/>
                      </w:pPr>
                      <w:r>
                        <w:rPr>
                          <w:rFonts w:eastAsia="Calibri"/>
                          <w:color w:val="000000" w:themeColor="text1"/>
                          <w:kern w:val="24"/>
                          <w:sz w:val="48"/>
                          <w:szCs w:val="48"/>
                          <w:lang w:val="es-MX"/>
                        </w:rPr>
                        <w:t xml:space="preserve"> </w:t>
                      </w:r>
                      <w:r w:rsidR="00DF2B48">
                        <w:rPr>
                          <w:rFonts w:eastAsia="Calibri"/>
                          <w:color w:val="000000" w:themeColor="text1"/>
                          <w:kern w:val="24"/>
                          <w:sz w:val="48"/>
                          <w:szCs w:val="48"/>
                          <w:lang w:val="es-MX"/>
                        </w:rPr>
                        <w:t>Noviembre</w:t>
                      </w:r>
                      <w:r>
                        <w:rPr>
                          <w:rFonts w:eastAsia="Calibri"/>
                          <w:color w:val="000000" w:themeColor="text1"/>
                          <w:kern w:val="24"/>
                          <w:sz w:val="48"/>
                          <w:szCs w:val="48"/>
                          <w:lang w:val="es-MX"/>
                        </w:rPr>
                        <w:t xml:space="preserve"> 2020</w:t>
                      </w:r>
                    </w:p>
                  </w:txbxContent>
                </v:textbox>
                <w10:wrap anchorx="margin"/>
              </v:rect>
            </w:pict>
          </mc:Fallback>
        </mc:AlternateContent>
      </w:r>
      <w:r w:rsidRPr="0068448F">
        <w:rPr>
          <w:noProof/>
          <w:lang w:eastAsia="es-ES"/>
        </w:rPr>
        <mc:AlternateContent>
          <mc:Choice Requires="wps">
            <w:drawing>
              <wp:anchor distT="0" distB="0" distL="114300" distR="114300" simplePos="0" relativeHeight="251659264" behindDoc="0" locked="0" layoutInCell="1" allowOverlap="1" wp14:anchorId="6CD69E92" wp14:editId="008E43A6">
                <wp:simplePos x="0" y="0"/>
                <wp:positionH relativeFrom="margin">
                  <wp:align>center</wp:align>
                </wp:positionH>
                <wp:positionV relativeFrom="paragraph">
                  <wp:posOffset>-755015</wp:posOffset>
                </wp:positionV>
                <wp:extent cx="9118060" cy="800219"/>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8060" cy="80021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8448F" w:rsidRDefault="0068448F" w:rsidP="0068448F">
                            <w:pPr>
                              <w:pStyle w:val="NormalWeb"/>
                              <w:kinsoku w:val="0"/>
                              <w:overflowPunct w:val="0"/>
                              <w:spacing w:before="0" w:beforeAutospacing="0" w:after="0" w:afterAutospacing="0"/>
                              <w:textAlignment w:val="baseline"/>
                            </w:pPr>
                            <w:r>
                              <w:rPr>
                                <w:rFonts w:eastAsia="Calibri"/>
                                <w:b/>
                                <w:bCs/>
                                <w:color w:val="000000" w:themeColor="text1"/>
                                <w:kern w:val="24"/>
                                <w:position w:val="1"/>
                                <w:sz w:val="56"/>
                                <w:szCs w:val="56"/>
                                <w:lang w:val="es-MX"/>
                              </w:rPr>
                              <w:t>ESCUELA NORMAL DE EDUCACION PREESCOLAR</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CD69E92" id="Rectangle 2" o:spid="_x0000_s1027" style="position:absolute;margin-left:0;margin-top:-59.45pt;width:717.95pt;height:6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" filled="f" fillcolor="#5b9bd5 [3204]" stroked="f" strokecolor="black [3213]">
                <v:shadow color="#e7e6e6 [3214]"/>
                <v:textbox style="mso-fit-shape-to-text:t">
                  <w:txbxContent>
                    <w:p w:rsidR="0068448F" w:rsidRDefault="0068448F" w:rsidP="0068448F">
                      <w:pPr>
                        <w:pStyle w:val="NormalWeb"/>
                        <w:kinsoku w:val="0"/>
                        <w:overflowPunct w:val="0"/>
                        <w:spacing w:before="0" w:beforeAutospacing="0" w:after="0" w:afterAutospacing="0"/>
                        <w:textAlignment w:val="baseline"/>
                      </w:pPr>
                      <w:r>
                        <w:rPr>
                          <w:rFonts w:eastAsia="Calibri"/>
                          <w:b/>
                          <w:bCs/>
                          <w:color w:val="000000" w:themeColor="text1"/>
                          <w:kern w:val="24"/>
                          <w:position w:val="1"/>
                          <w:sz w:val="56"/>
                          <w:szCs w:val="56"/>
                          <w:lang w:val="es-MX"/>
                        </w:rPr>
                        <w:t>ESCUELA NORMAL DE EDUCACION PREESCOLAR</w:t>
                      </w:r>
                    </w:p>
                  </w:txbxContent>
                </v:textbox>
                <w10:wrap anchorx="margin"/>
              </v:rect>
            </w:pict>
          </mc:Fallback>
        </mc:AlternateContent>
      </w:r>
    </w:p>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p w:rsidR="00495A70" w:rsidRDefault="00495A70"/>
    <w:tbl>
      <w:tblPr>
        <w:tblpPr w:leftFromText="141" w:rightFromText="141" w:horzAnchor="margin" w:tblpY="-665"/>
        <w:tblW w:w="14336" w:type="dxa"/>
        <w:tblCellMar>
          <w:left w:w="0" w:type="dxa"/>
          <w:right w:w="0" w:type="dxa"/>
        </w:tblCellMar>
        <w:tblLook w:val="0420" w:firstRow="1" w:lastRow="0" w:firstColumn="0" w:lastColumn="0" w:noHBand="0" w:noVBand="1"/>
      </w:tblPr>
      <w:tblGrid>
        <w:gridCol w:w="4778"/>
        <w:gridCol w:w="4779"/>
        <w:gridCol w:w="4779"/>
      </w:tblGrid>
      <w:tr w:rsidR="00495A70" w:rsidRPr="00495A70" w:rsidTr="00495A70">
        <w:trPr>
          <w:trHeight w:val="891"/>
        </w:trPr>
        <w:tc>
          <w:tcPr>
            <w:tcW w:w="4778"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hideMark/>
          </w:tcPr>
          <w:p w:rsidR="00495A70" w:rsidRPr="00495A70" w:rsidRDefault="00495A70" w:rsidP="00495A70">
            <w:pPr>
              <w:jc w:val="center"/>
              <w:rPr>
                <w:rFonts w:ascii="Dear Sunshine" w:hAnsi="Dear Sunshine"/>
                <w:color w:val="FFFFFF" w:themeColor="background1"/>
                <w:sz w:val="48"/>
                <w:szCs w:val="48"/>
              </w:rPr>
            </w:pPr>
            <w:r w:rsidRPr="00495A70">
              <w:rPr>
                <w:rFonts w:ascii="Dear Sunshine" w:hAnsi="Dear Sunshine"/>
                <w:color w:val="FFFFFF" w:themeColor="background1"/>
                <w:sz w:val="48"/>
                <w:szCs w:val="48"/>
              </w:rPr>
              <w:lastRenderedPageBreak/>
              <w:t>PROPUESTA</w:t>
            </w:r>
          </w:p>
        </w:tc>
        <w:tc>
          <w:tcPr>
            <w:tcW w:w="4779"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hideMark/>
          </w:tcPr>
          <w:p w:rsidR="00495A70" w:rsidRPr="00495A70" w:rsidRDefault="00495A70" w:rsidP="00495A70">
            <w:pPr>
              <w:jc w:val="center"/>
              <w:rPr>
                <w:rFonts w:ascii="Dear Sunshine" w:hAnsi="Dear Sunshine"/>
                <w:color w:val="FFFFFF" w:themeColor="background1"/>
                <w:sz w:val="48"/>
                <w:szCs w:val="48"/>
              </w:rPr>
            </w:pPr>
            <w:r w:rsidRPr="00495A70">
              <w:rPr>
                <w:rFonts w:ascii="Dear Sunshine" w:hAnsi="Dear Sunshine"/>
                <w:color w:val="FFFFFF" w:themeColor="background1"/>
                <w:sz w:val="48"/>
                <w:szCs w:val="48"/>
              </w:rPr>
              <w:t>PROPUESTA</w:t>
            </w:r>
          </w:p>
        </w:tc>
        <w:tc>
          <w:tcPr>
            <w:tcW w:w="4779" w:type="dxa"/>
            <w:tcBorders>
              <w:top w:val="single" w:sz="8" w:space="0" w:color="FFFFFF"/>
              <w:left w:val="single" w:sz="8" w:space="0" w:color="FFFFFF"/>
              <w:bottom w:val="single" w:sz="24" w:space="0" w:color="FFFFFF"/>
              <w:right w:val="single" w:sz="8" w:space="0" w:color="FFFFFF"/>
            </w:tcBorders>
            <w:shd w:val="clear" w:color="auto" w:fill="ED7D31"/>
            <w:tcMar>
              <w:top w:w="72" w:type="dxa"/>
              <w:left w:w="144" w:type="dxa"/>
              <w:bottom w:w="72" w:type="dxa"/>
              <w:right w:w="144" w:type="dxa"/>
            </w:tcMar>
            <w:vAlign w:val="center"/>
            <w:hideMark/>
          </w:tcPr>
          <w:p w:rsidR="00495A70" w:rsidRPr="00495A70" w:rsidRDefault="00495A70" w:rsidP="00495A70">
            <w:pPr>
              <w:jc w:val="center"/>
              <w:rPr>
                <w:rFonts w:ascii="Dear Sunshine" w:hAnsi="Dear Sunshine"/>
                <w:color w:val="FFFFFF" w:themeColor="background1"/>
                <w:sz w:val="48"/>
                <w:szCs w:val="48"/>
              </w:rPr>
            </w:pPr>
            <w:r w:rsidRPr="00495A70">
              <w:rPr>
                <w:rFonts w:ascii="Dear Sunshine" w:hAnsi="Dear Sunshine"/>
                <w:color w:val="FFFFFF" w:themeColor="background1"/>
                <w:sz w:val="48"/>
                <w:szCs w:val="48"/>
              </w:rPr>
              <w:t>PUNTO DE VISTA</w:t>
            </w:r>
          </w:p>
        </w:tc>
      </w:tr>
      <w:tr w:rsidR="00495A70" w:rsidRPr="00DF2B48" w:rsidTr="00495A70">
        <w:trPr>
          <w:trHeight w:val="891"/>
        </w:trPr>
        <w:tc>
          <w:tcPr>
            <w:tcW w:w="4778"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495A70" w:rsidP="00495A70">
            <w:pPr>
              <w:jc w:val="center"/>
              <w:rPr>
                <w:b/>
                <w:sz w:val="36"/>
                <w:szCs w:val="36"/>
              </w:rPr>
            </w:pPr>
            <w:r w:rsidRPr="00DF2B48">
              <w:rPr>
                <w:b/>
                <w:sz w:val="36"/>
                <w:szCs w:val="36"/>
              </w:rPr>
              <w:t>1.- Educación incluyente y la crítica de la interpretación conformista sobre la perdida de diversidad.</w:t>
            </w:r>
          </w:p>
        </w:tc>
        <w:tc>
          <w:tcPr>
            <w:tcW w:w="4779"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0D1F5F" w:rsidP="00DF2B48">
            <w:pPr>
              <w:jc w:val="center"/>
              <w:rPr>
                <w:sz w:val="30"/>
                <w:szCs w:val="30"/>
              </w:rPr>
            </w:pPr>
            <w:r w:rsidRPr="00DF2B48">
              <w:rPr>
                <w:sz w:val="30"/>
                <w:szCs w:val="30"/>
              </w:rPr>
              <w:t>Propuestas alternativas a favor de las Muñoz Cruz: La diversidad en las reformas educativas. poblaciones indígenas, que pusieron un clarísimo énfasis en la vinculación de las alteridades socioculturales y particularismos etnolingüísticas con la democratización y el derecho, la transformación hacia la calidad y pertinencia de la educación nacional y la lucha contra la pobreza y las desigualdades.</w:t>
            </w:r>
          </w:p>
        </w:tc>
        <w:tc>
          <w:tcPr>
            <w:tcW w:w="4779" w:type="dxa"/>
            <w:tcBorders>
              <w:top w:val="single" w:sz="24"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0D1F5F" w:rsidP="000D1F5F">
            <w:pPr>
              <w:jc w:val="both"/>
              <w:rPr>
                <w:sz w:val="30"/>
                <w:szCs w:val="30"/>
              </w:rPr>
            </w:pPr>
            <w:r w:rsidRPr="00DF2B48">
              <w:rPr>
                <w:sz w:val="30"/>
                <w:szCs w:val="30"/>
              </w:rPr>
              <w:t xml:space="preserve">Debido a los tiempos de cambios educacionales, la educación rural puede verse afectada, ya que no toman en cuenta las drásticas y peculiares condiciones. Por otra parte, las diversidades culturales y sociolingüísticas se simplifican exageradamente y lo ven de la manera mundo urbano vs mundo rural y comunidad de habla hispana vs comunidad india. </w:t>
            </w:r>
          </w:p>
          <w:p w:rsidR="000D1F5F" w:rsidRPr="00DF2B48" w:rsidRDefault="000D1F5F" w:rsidP="000D1F5F">
            <w:pPr>
              <w:jc w:val="both"/>
              <w:rPr>
                <w:sz w:val="30"/>
                <w:szCs w:val="30"/>
              </w:rPr>
            </w:pPr>
            <w:r w:rsidRPr="00DF2B48">
              <w:rPr>
                <w:sz w:val="30"/>
                <w:szCs w:val="30"/>
              </w:rPr>
              <w:t xml:space="preserve">La situación de alta vulnerabilidad debido a la falta de mantenimiento de lenguas. Se puede ver en dos puntos donde algunos opinan que la perdida de la diversidad es inevitable y por otra parte la perdida de una </w:t>
            </w:r>
            <w:r w:rsidRPr="00DF2B48">
              <w:rPr>
                <w:sz w:val="30"/>
                <w:szCs w:val="30"/>
              </w:rPr>
              <w:lastRenderedPageBreak/>
              <w:t>lengua no representa algo especial ni para la ciencia ni para la vida intelectual.</w:t>
            </w:r>
          </w:p>
        </w:tc>
      </w:tr>
      <w:tr w:rsidR="00495A70" w:rsidRPr="00DF2B48" w:rsidTr="00495A70">
        <w:trPr>
          <w:trHeight w:val="891"/>
        </w:trPr>
        <w:tc>
          <w:tcPr>
            <w:tcW w:w="4778"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DB1B6F" w:rsidP="00495A70">
            <w:pPr>
              <w:jc w:val="center"/>
              <w:rPr>
                <w:b/>
                <w:sz w:val="36"/>
                <w:szCs w:val="36"/>
              </w:rPr>
            </w:pPr>
            <w:r w:rsidRPr="00DF2B48">
              <w:rPr>
                <w:b/>
                <w:sz w:val="36"/>
                <w:szCs w:val="36"/>
              </w:rPr>
              <w:lastRenderedPageBreak/>
              <w:t>2.- Lectura demográfica de la diversidad.</w:t>
            </w:r>
          </w:p>
        </w:tc>
        <w:tc>
          <w:tcPr>
            <w:tcW w:w="477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DB1B6F" w:rsidP="00495A70">
            <w:pPr>
              <w:jc w:val="center"/>
              <w:rPr>
                <w:sz w:val="30"/>
                <w:szCs w:val="30"/>
              </w:rPr>
            </w:pPr>
            <w:r w:rsidRPr="00DF2B48">
              <w:rPr>
                <w:sz w:val="30"/>
                <w:szCs w:val="30"/>
              </w:rPr>
              <w:t xml:space="preserve"> interpretación de las tendencias de la diversidad, sobre la base de los censos generales de población.</w:t>
            </w:r>
          </w:p>
        </w:tc>
        <w:tc>
          <w:tcPr>
            <w:tcW w:w="477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DB1B6F" w:rsidP="00495A70">
            <w:pPr>
              <w:jc w:val="center"/>
              <w:rPr>
                <w:sz w:val="30"/>
                <w:szCs w:val="30"/>
              </w:rPr>
            </w:pPr>
            <w:r w:rsidRPr="00DF2B48">
              <w:rPr>
                <w:sz w:val="30"/>
                <w:szCs w:val="30"/>
              </w:rPr>
              <w:t xml:space="preserve">Las migraciones hacia las áreas urbanas </w:t>
            </w:r>
            <w:r w:rsidR="007F673B" w:rsidRPr="00DF2B48">
              <w:rPr>
                <w:sz w:val="30"/>
                <w:szCs w:val="30"/>
              </w:rPr>
              <w:t>y la expansión del sistema educativo es el resultado de una mayor difusión y apre</w:t>
            </w:r>
            <w:r w:rsidR="00E419F8" w:rsidRPr="00DF2B48">
              <w:rPr>
                <w:sz w:val="30"/>
                <w:szCs w:val="30"/>
              </w:rPr>
              <w:t>ndizaje de la lengua castellana, Por lo que es difícil la conservación de las lenguas.</w:t>
            </w:r>
          </w:p>
        </w:tc>
      </w:tr>
      <w:tr w:rsidR="00495A70" w:rsidRPr="00DF2B48" w:rsidTr="00495A70">
        <w:trPr>
          <w:trHeight w:val="891"/>
        </w:trPr>
        <w:tc>
          <w:tcPr>
            <w:tcW w:w="4778"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E419F8" w:rsidP="00495A70">
            <w:pPr>
              <w:jc w:val="center"/>
              <w:rPr>
                <w:b/>
                <w:sz w:val="36"/>
                <w:szCs w:val="36"/>
              </w:rPr>
            </w:pPr>
            <w:r w:rsidRPr="00DF2B48">
              <w:rPr>
                <w:b/>
                <w:sz w:val="36"/>
                <w:szCs w:val="36"/>
              </w:rPr>
              <w:t>3.- Diversidad y conflicto intercultural</w:t>
            </w:r>
          </w:p>
        </w:tc>
        <w:tc>
          <w:tcPr>
            <w:tcW w:w="477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E419F8" w:rsidP="00495A70">
            <w:pPr>
              <w:jc w:val="center"/>
              <w:rPr>
                <w:sz w:val="30"/>
                <w:szCs w:val="30"/>
              </w:rPr>
            </w:pPr>
            <w:r w:rsidRPr="00DF2B48">
              <w:rPr>
                <w:sz w:val="30"/>
                <w:szCs w:val="30"/>
              </w:rPr>
              <w:t xml:space="preserve"> La diferencia en el marco del contacto o conflicto entre comunidades étnicas dentro de los Estados nacionales</w:t>
            </w:r>
          </w:p>
        </w:tc>
        <w:tc>
          <w:tcPr>
            <w:tcW w:w="4779" w:type="dxa"/>
            <w:tcBorders>
              <w:top w:val="single" w:sz="8" w:space="0" w:color="FFFFFF"/>
              <w:left w:val="single" w:sz="8" w:space="0" w:color="FFFFFF"/>
              <w:bottom w:val="single" w:sz="8" w:space="0" w:color="FFFFFF"/>
              <w:right w:val="single" w:sz="8" w:space="0" w:color="FFFFFF"/>
            </w:tcBorders>
            <w:shd w:val="clear" w:color="auto" w:fill="F8D7CD"/>
            <w:tcMar>
              <w:top w:w="72" w:type="dxa"/>
              <w:left w:w="144" w:type="dxa"/>
              <w:bottom w:w="72" w:type="dxa"/>
              <w:right w:w="144" w:type="dxa"/>
            </w:tcMar>
            <w:vAlign w:val="center"/>
            <w:hideMark/>
          </w:tcPr>
          <w:p w:rsidR="00495A70" w:rsidRPr="00DF2B48" w:rsidRDefault="00E419F8" w:rsidP="00495A70">
            <w:pPr>
              <w:jc w:val="center"/>
              <w:rPr>
                <w:sz w:val="30"/>
                <w:szCs w:val="30"/>
              </w:rPr>
            </w:pPr>
            <w:r w:rsidRPr="00DF2B48">
              <w:rPr>
                <w:sz w:val="30"/>
                <w:szCs w:val="30"/>
              </w:rPr>
              <w:t xml:space="preserve">Las principales actividades </w:t>
            </w:r>
            <w:r w:rsidR="00F25D28" w:rsidRPr="00DF2B48">
              <w:rPr>
                <w:sz w:val="30"/>
                <w:szCs w:val="30"/>
              </w:rPr>
              <w:t>sociolingüísticas</w:t>
            </w:r>
            <w:r w:rsidRPr="00DF2B48">
              <w:rPr>
                <w:sz w:val="30"/>
                <w:szCs w:val="30"/>
              </w:rPr>
              <w:t xml:space="preserve"> y culturales de los pueblos </w:t>
            </w:r>
            <w:r w:rsidR="009F67FE" w:rsidRPr="00DF2B48">
              <w:rPr>
                <w:sz w:val="30"/>
                <w:szCs w:val="30"/>
              </w:rPr>
              <w:t>ante nuevas</w:t>
            </w:r>
            <w:r w:rsidRPr="00DF2B48">
              <w:rPr>
                <w:sz w:val="30"/>
                <w:szCs w:val="30"/>
              </w:rPr>
              <w:t xml:space="preserve"> situaciones políticas y económicas; por </w:t>
            </w:r>
            <w:r w:rsidR="009F67FE" w:rsidRPr="00DF2B48">
              <w:rPr>
                <w:sz w:val="30"/>
                <w:szCs w:val="30"/>
              </w:rPr>
              <w:t>ejemplo,</w:t>
            </w:r>
            <w:r w:rsidRPr="00DF2B48">
              <w:rPr>
                <w:sz w:val="30"/>
                <w:szCs w:val="30"/>
              </w:rPr>
              <w:t xml:space="preserve"> la migración, las políticas de preservación de las lenguas, </w:t>
            </w:r>
            <w:r w:rsidR="0068448F" w:rsidRPr="00DF2B48">
              <w:rPr>
                <w:sz w:val="30"/>
                <w:szCs w:val="30"/>
              </w:rPr>
              <w:t xml:space="preserve">culturas e identidades de las poblaciones originarias. Se dice que mientras </w:t>
            </w:r>
            <w:r w:rsidR="0068448F" w:rsidRPr="00DF2B48">
              <w:rPr>
                <w:sz w:val="30"/>
                <w:szCs w:val="30"/>
              </w:rPr>
              <w:lastRenderedPageBreak/>
              <w:t>mueren diversas culturas, siempre están naciendo otras.</w:t>
            </w:r>
          </w:p>
          <w:p w:rsidR="0068448F" w:rsidRPr="00DF2B48" w:rsidRDefault="0068448F" w:rsidP="00495A70">
            <w:pPr>
              <w:jc w:val="center"/>
              <w:rPr>
                <w:sz w:val="30"/>
                <w:szCs w:val="30"/>
              </w:rPr>
            </w:pPr>
            <w:r w:rsidRPr="00DF2B48">
              <w:rPr>
                <w:sz w:val="30"/>
                <w:szCs w:val="30"/>
              </w:rPr>
              <w:t>La diversidad es consecuencia de la racionalidad humana de responder adaptativa y creativamente a su entorno y necesidades, pero no es la meta de las relaciones humanas ni de la educación.</w:t>
            </w:r>
          </w:p>
        </w:tc>
      </w:tr>
      <w:tr w:rsidR="00495A70" w:rsidRPr="00DF2B48" w:rsidTr="00495A70">
        <w:trPr>
          <w:trHeight w:val="891"/>
        </w:trPr>
        <w:tc>
          <w:tcPr>
            <w:tcW w:w="4778"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68448F" w:rsidP="00495A70">
            <w:pPr>
              <w:jc w:val="center"/>
              <w:rPr>
                <w:b/>
                <w:sz w:val="36"/>
                <w:szCs w:val="36"/>
              </w:rPr>
            </w:pPr>
            <w:r w:rsidRPr="00DF2B48">
              <w:rPr>
                <w:b/>
                <w:sz w:val="36"/>
                <w:szCs w:val="36"/>
              </w:rPr>
              <w:lastRenderedPageBreak/>
              <w:t>4.- Diversidad y desarrollo educativo</w:t>
            </w:r>
          </w:p>
        </w:tc>
        <w:tc>
          <w:tcPr>
            <w:tcW w:w="477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68448F" w:rsidP="00495A70">
            <w:pPr>
              <w:jc w:val="center"/>
              <w:rPr>
                <w:sz w:val="30"/>
                <w:szCs w:val="30"/>
              </w:rPr>
            </w:pPr>
            <w:r w:rsidRPr="00DF2B48">
              <w:rPr>
                <w:sz w:val="30"/>
                <w:szCs w:val="30"/>
              </w:rPr>
              <w:t>El debate sobre la educación sensitiva a la diversidad cultural de las poblaciones discriminadas gira en torno al derecho y al reconocimiento dentro del todo nacional.</w:t>
            </w:r>
          </w:p>
        </w:tc>
        <w:tc>
          <w:tcPr>
            <w:tcW w:w="4779" w:type="dxa"/>
            <w:tcBorders>
              <w:top w:val="single" w:sz="8" w:space="0" w:color="FFFFFF"/>
              <w:left w:val="single" w:sz="8" w:space="0" w:color="FFFFFF"/>
              <w:bottom w:val="single" w:sz="8" w:space="0" w:color="FFFFFF"/>
              <w:right w:val="single" w:sz="8" w:space="0" w:color="FFFFFF"/>
            </w:tcBorders>
            <w:shd w:val="clear" w:color="auto" w:fill="FCECE8"/>
            <w:tcMar>
              <w:top w:w="72" w:type="dxa"/>
              <w:left w:w="144" w:type="dxa"/>
              <w:bottom w:w="72" w:type="dxa"/>
              <w:right w:w="144" w:type="dxa"/>
            </w:tcMar>
            <w:vAlign w:val="center"/>
            <w:hideMark/>
          </w:tcPr>
          <w:p w:rsidR="00495A70" w:rsidRPr="00DF2B48" w:rsidRDefault="0068448F" w:rsidP="00495A70">
            <w:pPr>
              <w:jc w:val="center"/>
              <w:rPr>
                <w:sz w:val="30"/>
                <w:szCs w:val="30"/>
              </w:rPr>
            </w:pPr>
            <w:r w:rsidRPr="00DF2B48">
              <w:rPr>
                <w:sz w:val="30"/>
                <w:szCs w:val="30"/>
              </w:rPr>
              <w:t>Poseemos, más bien, nuevos parámetros para discutir la reforma de la educación, nuevas tendencias curriculares del sistema educacional y acciones institucionales tendientes a ofrecer la educación básica a quienes la requieran; también nuevas tecnologías para la elaboración de materiales didácticos, especialmente el libro de texto.</w:t>
            </w:r>
          </w:p>
        </w:tc>
      </w:tr>
    </w:tbl>
    <w:p w:rsidR="00CD51BD" w:rsidRPr="00494609" w:rsidRDefault="00CD51BD" w:rsidP="00CD51BD">
      <w:pPr>
        <w:jc w:val="center"/>
        <w:rPr>
          <w:sz w:val="36"/>
          <w:szCs w:val="36"/>
        </w:rPr>
      </w:pPr>
      <w:r w:rsidRPr="00494609">
        <w:rPr>
          <w:sz w:val="36"/>
          <w:szCs w:val="36"/>
        </w:rPr>
        <w:lastRenderedPageBreak/>
        <w:t>CUADRO DOBLE ENTRADA</w:t>
      </w:r>
    </w:p>
    <w:tbl>
      <w:tblPr>
        <w:tblStyle w:val="Tablaconcuadrcula"/>
        <w:tblW w:w="0" w:type="auto"/>
        <w:tblLook w:val="04A0" w:firstRow="1" w:lastRow="0" w:firstColumn="1" w:lastColumn="0" w:noHBand="0" w:noVBand="1"/>
      </w:tblPr>
      <w:tblGrid>
        <w:gridCol w:w="2191"/>
        <w:gridCol w:w="1095"/>
        <w:gridCol w:w="1096"/>
        <w:gridCol w:w="2191"/>
        <w:gridCol w:w="2191"/>
        <w:gridCol w:w="558"/>
        <w:gridCol w:w="1633"/>
        <w:gridCol w:w="2192"/>
      </w:tblGrid>
      <w:tr w:rsidR="00CD51BD" w:rsidTr="000322EC">
        <w:tc>
          <w:tcPr>
            <w:tcW w:w="6573" w:type="dxa"/>
            <w:gridSpan w:val="4"/>
          </w:tcPr>
          <w:p w:rsidR="00CD51BD" w:rsidRPr="00E13F48" w:rsidRDefault="00CD51BD" w:rsidP="000322EC">
            <w:pPr>
              <w:rPr>
                <w:sz w:val="40"/>
                <w:szCs w:val="40"/>
              </w:rPr>
            </w:pPr>
            <w:r>
              <w:rPr>
                <w:sz w:val="28"/>
                <w:szCs w:val="28"/>
              </w:rPr>
              <w:t>C</w:t>
            </w:r>
            <w:r w:rsidRPr="00A503E3">
              <w:rPr>
                <w:sz w:val="28"/>
                <w:szCs w:val="28"/>
              </w:rPr>
              <w:t>ompetencia:</w:t>
            </w:r>
            <w:r>
              <w:t xml:space="preserve"> </w:t>
            </w:r>
            <w:r w:rsidRPr="00A503E3">
              <w:rPr>
                <w:sz w:val="18"/>
                <w:szCs w:val="18"/>
              </w:rPr>
              <w:t>Diferencia las características particulares de los géneros discursivos que se utilizan en el ámbito de la actividad académica para orientar la elaboración de sus producciones escritas.</w:t>
            </w:r>
          </w:p>
        </w:tc>
        <w:tc>
          <w:tcPr>
            <w:tcW w:w="6574" w:type="dxa"/>
            <w:gridSpan w:val="4"/>
          </w:tcPr>
          <w:p w:rsidR="00CD51BD" w:rsidRPr="00E13F48" w:rsidRDefault="00CD51BD" w:rsidP="000322EC">
            <w:pPr>
              <w:jc w:val="both"/>
              <w:rPr>
                <w:rFonts w:ascii="Arial" w:hAnsi="Arial" w:cs="Arial"/>
                <w:sz w:val="20"/>
                <w:szCs w:val="20"/>
              </w:rPr>
            </w:pPr>
            <w:r w:rsidRPr="00A503E3">
              <w:rPr>
                <w:sz w:val="28"/>
                <w:szCs w:val="28"/>
              </w:rPr>
              <w:t>Problema</w:t>
            </w:r>
            <w:r w:rsidRPr="00226B8D">
              <w:rPr>
                <w:sz w:val="20"/>
                <w:szCs w:val="20"/>
              </w:rPr>
              <w:t>:</w:t>
            </w:r>
            <w:r w:rsidRPr="00226B8D">
              <w:rPr>
                <w:rFonts w:ascii="Arial" w:hAnsi="Arial" w:cs="Arial"/>
                <w:sz w:val="20"/>
                <w:szCs w:val="20"/>
              </w:rPr>
              <w:t xml:space="preserve"> </w:t>
            </w:r>
            <w:r w:rsidRPr="00A503E3">
              <w:rPr>
                <w:rFonts w:cstheme="minorHAnsi"/>
                <w:sz w:val="18"/>
                <w:szCs w:val="18"/>
              </w:rPr>
              <w:t>La comprensión lectora así como la escritura son la base importante para la formación y desarrollo de los futuros docentes pero en este mundo globalizado donde nos desenvolvernos  se ha dejado a un lado esta parte importante del desarrollo ya que limita a la escritura y la lectura como un medio para comunicarnos.</w:t>
            </w:r>
          </w:p>
        </w:tc>
      </w:tr>
      <w:tr w:rsidR="00CD51BD" w:rsidTr="000322EC">
        <w:tc>
          <w:tcPr>
            <w:tcW w:w="2191" w:type="dxa"/>
          </w:tcPr>
          <w:p w:rsidR="00CD51BD" w:rsidRPr="00226B8D" w:rsidRDefault="00CD51BD" w:rsidP="000322EC">
            <w:pPr>
              <w:rPr>
                <w:sz w:val="32"/>
                <w:szCs w:val="32"/>
              </w:rPr>
            </w:pPr>
            <w:r w:rsidRPr="00226B8D">
              <w:rPr>
                <w:sz w:val="32"/>
                <w:szCs w:val="32"/>
              </w:rPr>
              <w:t>Referentes</w:t>
            </w:r>
          </w:p>
        </w:tc>
        <w:tc>
          <w:tcPr>
            <w:tcW w:w="2191" w:type="dxa"/>
            <w:gridSpan w:val="2"/>
          </w:tcPr>
          <w:p w:rsidR="00CD51BD" w:rsidRPr="00226B8D" w:rsidRDefault="00CD51BD" w:rsidP="000322EC">
            <w:pPr>
              <w:rPr>
                <w:sz w:val="32"/>
                <w:szCs w:val="32"/>
              </w:rPr>
            </w:pPr>
            <w:proofErr w:type="spellStart"/>
            <w:r w:rsidRPr="00226B8D">
              <w:rPr>
                <w:sz w:val="32"/>
                <w:szCs w:val="32"/>
              </w:rPr>
              <w:t>Preformal</w:t>
            </w:r>
            <w:proofErr w:type="spellEnd"/>
          </w:p>
        </w:tc>
        <w:tc>
          <w:tcPr>
            <w:tcW w:w="2191" w:type="dxa"/>
          </w:tcPr>
          <w:p w:rsidR="00CD51BD" w:rsidRPr="00226B8D" w:rsidRDefault="00CD51BD" w:rsidP="000322EC">
            <w:pPr>
              <w:rPr>
                <w:sz w:val="32"/>
                <w:szCs w:val="32"/>
              </w:rPr>
            </w:pPr>
            <w:r w:rsidRPr="00226B8D">
              <w:rPr>
                <w:sz w:val="32"/>
                <w:szCs w:val="32"/>
              </w:rPr>
              <w:t>Receptivo</w:t>
            </w:r>
          </w:p>
        </w:tc>
        <w:tc>
          <w:tcPr>
            <w:tcW w:w="2191" w:type="dxa"/>
          </w:tcPr>
          <w:p w:rsidR="00CD51BD" w:rsidRPr="00226B8D" w:rsidRDefault="00CD51BD" w:rsidP="000322EC">
            <w:pPr>
              <w:rPr>
                <w:sz w:val="32"/>
                <w:szCs w:val="32"/>
              </w:rPr>
            </w:pPr>
            <w:r w:rsidRPr="00226B8D">
              <w:rPr>
                <w:sz w:val="32"/>
                <w:szCs w:val="32"/>
              </w:rPr>
              <w:t>Resolutivo</w:t>
            </w:r>
          </w:p>
        </w:tc>
        <w:tc>
          <w:tcPr>
            <w:tcW w:w="2191" w:type="dxa"/>
            <w:gridSpan w:val="2"/>
          </w:tcPr>
          <w:p w:rsidR="00CD51BD" w:rsidRPr="00226B8D" w:rsidRDefault="00CD51BD" w:rsidP="000322EC">
            <w:pPr>
              <w:rPr>
                <w:sz w:val="32"/>
                <w:szCs w:val="32"/>
              </w:rPr>
            </w:pPr>
            <w:r w:rsidRPr="00226B8D">
              <w:rPr>
                <w:sz w:val="32"/>
                <w:szCs w:val="32"/>
              </w:rPr>
              <w:t>Autónomo</w:t>
            </w:r>
          </w:p>
        </w:tc>
        <w:tc>
          <w:tcPr>
            <w:tcW w:w="2192" w:type="dxa"/>
          </w:tcPr>
          <w:p w:rsidR="00CD51BD" w:rsidRPr="00226B8D" w:rsidRDefault="00CD51BD" w:rsidP="000322EC">
            <w:pPr>
              <w:rPr>
                <w:sz w:val="32"/>
                <w:szCs w:val="32"/>
              </w:rPr>
            </w:pPr>
            <w:r w:rsidRPr="00226B8D">
              <w:rPr>
                <w:sz w:val="32"/>
                <w:szCs w:val="32"/>
              </w:rPr>
              <w:t>Estratégico</w:t>
            </w:r>
          </w:p>
        </w:tc>
      </w:tr>
      <w:tr w:rsidR="00CD51BD" w:rsidTr="000322EC">
        <w:tc>
          <w:tcPr>
            <w:tcW w:w="2191" w:type="dxa"/>
          </w:tcPr>
          <w:p w:rsidR="00CD51BD" w:rsidRDefault="00CD51BD" w:rsidP="000322EC">
            <w:pPr>
              <w:jc w:val="both"/>
              <w:rPr>
                <w:sz w:val="36"/>
                <w:szCs w:val="36"/>
              </w:rPr>
            </w:pPr>
            <w:r>
              <w:rPr>
                <w:sz w:val="36"/>
                <w:szCs w:val="36"/>
              </w:rPr>
              <w:t xml:space="preserve">Evidencia: </w:t>
            </w:r>
            <w:r>
              <w:t xml:space="preserve">Cuadro </w:t>
            </w:r>
            <w:proofErr w:type="gramStart"/>
            <w:r>
              <w:t xml:space="preserve">comparativo  </w:t>
            </w:r>
            <w:r w:rsidRPr="00F415B9">
              <w:rPr>
                <w:sz w:val="36"/>
                <w:szCs w:val="36"/>
              </w:rPr>
              <w:t>Criterio</w:t>
            </w:r>
            <w:proofErr w:type="gramEnd"/>
            <w:r w:rsidRPr="00F415B9">
              <w:rPr>
                <w:sz w:val="36"/>
                <w:szCs w:val="36"/>
              </w:rPr>
              <w:t>:</w:t>
            </w:r>
            <w:r>
              <w:t xml:space="preserve"> Incluye la estructura y otras características distintivas de cada documento incluido en el cuadro.</w:t>
            </w:r>
            <w:r>
              <w:rPr>
                <w:rFonts w:ascii="Arial" w:hAnsi="Arial" w:cs="Arial"/>
                <w:sz w:val="20"/>
                <w:szCs w:val="20"/>
              </w:rPr>
              <w:t xml:space="preserve"> </w:t>
            </w:r>
          </w:p>
        </w:tc>
        <w:tc>
          <w:tcPr>
            <w:tcW w:w="2191" w:type="dxa"/>
            <w:gridSpan w:val="2"/>
          </w:tcPr>
          <w:p w:rsidR="00CD51BD" w:rsidRDefault="00CD51BD" w:rsidP="000322EC">
            <w:r w:rsidRPr="00F415B9">
              <w:t>Realiza un cuadro que muestre las características del cuadro comparativo</w:t>
            </w:r>
            <w:r>
              <w:t xml:space="preserve"> </w:t>
            </w:r>
            <w:proofErr w:type="gramStart"/>
            <w:r>
              <w:t>de  textos</w:t>
            </w:r>
            <w:proofErr w:type="gramEnd"/>
            <w:r>
              <w:t xml:space="preserve"> académicos</w:t>
            </w:r>
          </w:p>
          <w:p w:rsidR="00CD51BD" w:rsidRDefault="00CD51BD" w:rsidP="000322EC">
            <w:r>
              <w:t>Definición</w:t>
            </w:r>
          </w:p>
          <w:p w:rsidR="00CD51BD" w:rsidRDefault="00CD51BD" w:rsidP="000322EC">
            <w:r>
              <w:t>Características</w:t>
            </w:r>
          </w:p>
          <w:p w:rsidR="00CD51BD" w:rsidRDefault="00CD51BD" w:rsidP="000322EC">
            <w:r>
              <w:t>Estructura</w:t>
            </w:r>
          </w:p>
          <w:p w:rsidR="00CD51BD" w:rsidRDefault="00CD51BD" w:rsidP="000322EC">
            <w:r>
              <w:t>Diferencias</w:t>
            </w:r>
          </w:p>
          <w:p w:rsidR="00CD51BD" w:rsidRDefault="00CD51BD" w:rsidP="000322EC">
            <w:pPr>
              <w:rPr>
                <w:sz w:val="36"/>
                <w:szCs w:val="36"/>
              </w:rPr>
            </w:pPr>
            <w:r>
              <w:rPr>
                <w:sz w:val="36"/>
                <w:szCs w:val="36"/>
              </w:rPr>
              <w:t xml:space="preserve"> </w:t>
            </w:r>
          </w:p>
        </w:tc>
        <w:tc>
          <w:tcPr>
            <w:tcW w:w="2191" w:type="dxa"/>
          </w:tcPr>
          <w:p w:rsidR="00CD51BD" w:rsidRPr="00F415B9" w:rsidRDefault="00CD51BD" w:rsidP="000322EC">
            <w:r w:rsidRPr="00F415B9">
              <w:t>Realiza un cuadro que muestre las características del cuadro comparativo</w:t>
            </w:r>
            <w:r>
              <w:t xml:space="preserve"> de los principales textos académicos utilizados por los docentes incluyendo su definición </w:t>
            </w:r>
          </w:p>
        </w:tc>
        <w:tc>
          <w:tcPr>
            <w:tcW w:w="2191" w:type="dxa"/>
          </w:tcPr>
          <w:p w:rsidR="00CD51BD" w:rsidRDefault="00CD51BD" w:rsidP="000322EC">
            <w:pPr>
              <w:rPr>
                <w:sz w:val="36"/>
                <w:szCs w:val="36"/>
              </w:rPr>
            </w:pPr>
            <w:r w:rsidRPr="00F415B9">
              <w:t>Realiza un cuadro que muestre las características del cuadro comparativo</w:t>
            </w:r>
            <w:r>
              <w:t xml:space="preserve"> de los principales textos académicos utilizados por los docentes incluyendo su definición  y estructura principales de cada una de ellas</w:t>
            </w:r>
          </w:p>
        </w:tc>
        <w:tc>
          <w:tcPr>
            <w:tcW w:w="2191" w:type="dxa"/>
            <w:gridSpan w:val="2"/>
          </w:tcPr>
          <w:p w:rsidR="00CD51BD" w:rsidRPr="00CD51BD" w:rsidRDefault="00CD51BD" w:rsidP="000322EC">
            <w:pPr>
              <w:rPr>
                <w:sz w:val="36"/>
                <w:szCs w:val="36"/>
                <w:highlight w:val="yellow"/>
              </w:rPr>
            </w:pPr>
            <w:r w:rsidRPr="00CD51BD">
              <w:rPr>
                <w:highlight w:val="yellow"/>
              </w:rPr>
              <w:t xml:space="preserve">Realiza un cuadro que muestre las características del cuadro comparativo de los principales textos académicos utilizados por los docentes incluyendo su definición  y estructura principales de cada una de ellas además de una presentación novedosa de fácil lectura </w:t>
            </w:r>
          </w:p>
        </w:tc>
        <w:tc>
          <w:tcPr>
            <w:tcW w:w="2192" w:type="dxa"/>
          </w:tcPr>
          <w:p w:rsidR="00CD51BD" w:rsidRPr="00A503E3" w:rsidRDefault="00CD51BD" w:rsidP="000322EC">
            <w:pPr>
              <w:rPr>
                <w:sz w:val="18"/>
                <w:szCs w:val="18"/>
              </w:rPr>
            </w:pPr>
            <w:r w:rsidRPr="00A503E3">
              <w:rPr>
                <w:sz w:val="18"/>
                <w:szCs w:val="18"/>
              </w:rPr>
              <w:t>Realiza un cuadro que muestre las características del cuadro comparativo de los principales textos académicos utilizados por los docentes incluyendo su definición, estructura principales de cada una de ellas además hacer énfasis en las diferencias, mostrando una  presentación novedosa y de fácil lectura, incluyendo un texto académico que haya investigado fuera de los vistos (diario o reporte de práctica)</w:t>
            </w:r>
          </w:p>
        </w:tc>
      </w:tr>
      <w:tr w:rsidR="00CD51BD" w:rsidTr="000322EC">
        <w:tc>
          <w:tcPr>
            <w:tcW w:w="2191" w:type="dxa"/>
          </w:tcPr>
          <w:p w:rsidR="00CD51BD" w:rsidRPr="00226B8D" w:rsidRDefault="00CD51BD" w:rsidP="000322EC">
            <w:r w:rsidRPr="00226B8D">
              <w:t>VALOR:10</w:t>
            </w:r>
          </w:p>
        </w:tc>
        <w:tc>
          <w:tcPr>
            <w:tcW w:w="2191" w:type="dxa"/>
            <w:gridSpan w:val="2"/>
          </w:tcPr>
          <w:p w:rsidR="00CD51BD" w:rsidRPr="00226B8D" w:rsidRDefault="00CD51BD" w:rsidP="000322EC">
            <w:r w:rsidRPr="00226B8D">
              <w:t>6</w:t>
            </w:r>
          </w:p>
        </w:tc>
        <w:tc>
          <w:tcPr>
            <w:tcW w:w="2191" w:type="dxa"/>
          </w:tcPr>
          <w:p w:rsidR="00CD51BD" w:rsidRPr="00226B8D" w:rsidRDefault="00CD51BD" w:rsidP="000322EC">
            <w:r w:rsidRPr="00226B8D">
              <w:t>7</w:t>
            </w:r>
          </w:p>
        </w:tc>
        <w:tc>
          <w:tcPr>
            <w:tcW w:w="2191" w:type="dxa"/>
          </w:tcPr>
          <w:p w:rsidR="00CD51BD" w:rsidRPr="00226B8D" w:rsidRDefault="00CD51BD" w:rsidP="000322EC">
            <w:r w:rsidRPr="00226B8D">
              <w:t>8</w:t>
            </w:r>
          </w:p>
        </w:tc>
        <w:tc>
          <w:tcPr>
            <w:tcW w:w="2191" w:type="dxa"/>
            <w:gridSpan w:val="2"/>
          </w:tcPr>
          <w:p w:rsidR="00CD51BD" w:rsidRPr="00CD51BD" w:rsidRDefault="00CD51BD" w:rsidP="000322EC">
            <w:pPr>
              <w:rPr>
                <w:highlight w:val="yellow"/>
              </w:rPr>
            </w:pPr>
            <w:r w:rsidRPr="00CD51BD">
              <w:rPr>
                <w:highlight w:val="yellow"/>
              </w:rPr>
              <w:t>9</w:t>
            </w:r>
          </w:p>
        </w:tc>
        <w:tc>
          <w:tcPr>
            <w:tcW w:w="2192" w:type="dxa"/>
          </w:tcPr>
          <w:p w:rsidR="00CD51BD" w:rsidRPr="00226B8D" w:rsidRDefault="00CD51BD" w:rsidP="000322EC">
            <w:r w:rsidRPr="00226B8D">
              <w:t>10</w:t>
            </w:r>
          </w:p>
        </w:tc>
      </w:tr>
      <w:tr w:rsidR="00CD51BD" w:rsidRPr="00226B8D" w:rsidTr="000322EC">
        <w:tc>
          <w:tcPr>
            <w:tcW w:w="3286" w:type="dxa"/>
            <w:gridSpan w:val="2"/>
          </w:tcPr>
          <w:p w:rsidR="00CD51BD" w:rsidRPr="00226B8D" w:rsidRDefault="00CD51BD" w:rsidP="000322EC">
            <w:pPr>
              <w:rPr>
                <w:sz w:val="24"/>
                <w:szCs w:val="24"/>
              </w:rPr>
            </w:pPr>
            <w:r w:rsidRPr="00226B8D">
              <w:rPr>
                <w:sz w:val="24"/>
                <w:szCs w:val="24"/>
              </w:rPr>
              <w:t xml:space="preserve">Evaluación </w:t>
            </w:r>
          </w:p>
        </w:tc>
        <w:tc>
          <w:tcPr>
            <w:tcW w:w="3287" w:type="dxa"/>
            <w:gridSpan w:val="2"/>
          </w:tcPr>
          <w:p w:rsidR="00CD51BD" w:rsidRPr="00226B8D" w:rsidRDefault="00CD51BD" w:rsidP="000322EC">
            <w:pPr>
              <w:rPr>
                <w:sz w:val="24"/>
                <w:szCs w:val="24"/>
              </w:rPr>
            </w:pPr>
            <w:r w:rsidRPr="00226B8D">
              <w:rPr>
                <w:sz w:val="24"/>
                <w:szCs w:val="24"/>
              </w:rPr>
              <w:t>Logros</w:t>
            </w:r>
          </w:p>
        </w:tc>
        <w:tc>
          <w:tcPr>
            <w:tcW w:w="2749" w:type="dxa"/>
            <w:gridSpan w:val="2"/>
          </w:tcPr>
          <w:p w:rsidR="00CD51BD" w:rsidRPr="00226B8D" w:rsidRDefault="00CD51BD" w:rsidP="000322EC">
            <w:pPr>
              <w:rPr>
                <w:sz w:val="24"/>
                <w:szCs w:val="24"/>
              </w:rPr>
            </w:pPr>
            <w:r w:rsidRPr="00226B8D">
              <w:rPr>
                <w:sz w:val="24"/>
                <w:szCs w:val="24"/>
              </w:rPr>
              <w:t>Nota</w:t>
            </w:r>
          </w:p>
        </w:tc>
        <w:tc>
          <w:tcPr>
            <w:tcW w:w="3825" w:type="dxa"/>
            <w:gridSpan w:val="2"/>
          </w:tcPr>
          <w:p w:rsidR="00CD51BD" w:rsidRPr="00226B8D" w:rsidRDefault="00CD51BD" w:rsidP="000322EC">
            <w:pPr>
              <w:rPr>
                <w:sz w:val="24"/>
                <w:szCs w:val="24"/>
              </w:rPr>
            </w:pPr>
            <w:r w:rsidRPr="00226B8D">
              <w:rPr>
                <w:sz w:val="24"/>
                <w:szCs w:val="24"/>
              </w:rPr>
              <w:t>Acciones para mejorar</w:t>
            </w:r>
          </w:p>
        </w:tc>
      </w:tr>
      <w:tr w:rsidR="00CD51BD" w:rsidRPr="00226B8D" w:rsidTr="000322EC">
        <w:tc>
          <w:tcPr>
            <w:tcW w:w="3286" w:type="dxa"/>
            <w:gridSpan w:val="2"/>
          </w:tcPr>
          <w:p w:rsidR="00CD51BD" w:rsidRPr="00226B8D" w:rsidRDefault="00CD51BD" w:rsidP="000322EC">
            <w:pPr>
              <w:rPr>
                <w:sz w:val="24"/>
                <w:szCs w:val="24"/>
              </w:rPr>
            </w:pPr>
            <w:r w:rsidRPr="00226B8D">
              <w:rPr>
                <w:sz w:val="24"/>
                <w:szCs w:val="24"/>
              </w:rPr>
              <w:t>Autoevaluación</w:t>
            </w:r>
          </w:p>
        </w:tc>
        <w:tc>
          <w:tcPr>
            <w:tcW w:w="3287" w:type="dxa"/>
            <w:gridSpan w:val="2"/>
          </w:tcPr>
          <w:p w:rsidR="00CD51BD" w:rsidRPr="00226B8D" w:rsidRDefault="00CD51BD" w:rsidP="000322EC">
            <w:pPr>
              <w:rPr>
                <w:sz w:val="24"/>
                <w:szCs w:val="24"/>
              </w:rPr>
            </w:pPr>
            <w:bookmarkStart w:id="0" w:name="_GoBack"/>
            <w:bookmarkEnd w:id="0"/>
          </w:p>
        </w:tc>
        <w:tc>
          <w:tcPr>
            <w:tcW w:w="2749" w:type="dxa"/>
            <w:gridSpan w:val="2"/>
          </w:tcPr>
          <w:p w:rsidR="00CD51BD" w:rsidRPr="00226B8D" w:rsidRDefault="00CD51BD" w:rsidP="000322EC">
            <w:pPr>
              <w:rPr>
                <w:sz w:val="24"/>
                <w:szCs w:val="24"/>
              </w:rPr>
            </w:pPr>
          </w:p>
        </w:tc>
        <w:tc>
          <w:tcPr>
            <w:tcW w:w="3825" w:type="dxa"/>
            <w:gridSpan w:val="2"/>
          </w:tcPr>
          <w:p w:rsidR="00CD51BD" w:rsidRPr="00226B8D" w:rsidRDefault="00CD51BD" w:rsidP="000322EC">
            <w:pPr>
              <w:rPr>
                <w:sz w:val="24"/>
                <w:szCs w:val="24"/>
              </w:rPr>
            </w:pPr>
          </w:p>
        </w:tc>
      </w:tr>
      <w:tr w:rsidR="00CD51BD" w:rsidRPr="00226B8D" w:rsidTr="000322EC">
        <w:tc>
          <w:tcPr>
            <w:tcW w:w="3286" w:type="dxa"/>
            <w:gridSpan w:val="2"/>
          </w:tcPr>
          <w:p w:rsidR="00CD51BD" w:rsidRPr="00226B8D" w:rsidRDefault="00CD51BD" w:rsidP="000322EC">
            <w:pPr>
              <w:rPr>
                <w:sz w:val="24"/>
                <w:szCs w:val="24"/>
              </w:rPr>
            </w:pPr>
            <w:r w:rsidRPr="00226B8D">
              <w:rPr>
                <w:sz w:val="24"/>
                <w:szCs w:val="24"/>
              </w:rPr>
              <w:t>Coevaluación</w:t>
            </w:r>
          </w:p>
        </w:tc>
        <w:tc>
          <w:tcPr>
            <w:tcW w:w="3287" w:type="dxa"/>
            <w:gridSpan w:val="2"/>
          </w:tcPr>
          <w:p w:rsidR="00CD51BD" w:rsidRPr="00226B8D" w:rsidRDefault="00CD51BD" w:rsidP="000322EC">
            <w:pPr>
              <w:rPr>
                <w:sz w:val="24"/>
                <w:szCs w:val="24"/>
              </w:rPr>
            </w:pPr>
          </w:p>
        </w:tc>
        <w:tc>
          <w:tcPr>
            <w:tcW w:w="2749" w:type="dxa"/>
            <w:gridSpan w:val="2"/>
          </w:tcPr>
          <w:p w:rsidR="00CD51BD" w:rsidRPr="00226B8D" w:rsidRDefault="00CD51BD" w:rsidP="000322EC">
            <w:pPr>
              <w:rPr>
                <w:sz w:val="24"/>
                <w:szCs w:val="24"/>
              </w:rPr>
            </w:pPr>
          </w:p>
        </w:tc>
        <w:tc>
          <w:tcPr>
            <w:tcW w:w="3825" w:type="dxa"/>
            <w:gridSpan w:val="2"/>
          </w:tcPr>
          <w:p w:rsidR="00CD51BD" w:rsidRPr="00226B8D" w:rsidRDefault="00CD51BD" w:rsidP="000322EC">
            <w:pPr>
              <w:rPr>
                <w:sz w:val="24"/>
                <w:szCs w:val="24"/>
              </w:rPr>
            </w:pPr>
          </w:p>
        </w:tc>
      </w:tr>
      <w:tr w:rsidR="00CD51BD" w:rsidRPr="00226B8D" w:rsidTr="000322EC">
        <w:tc>
          <w:tcPr>
            <w:tcW w:w="3286" w:type="dxa"/>
            <w:gridSpan w:val="2"/>
          </w:tcPr>
          <w:p w:rsidR="00CD51BD" w:rsidRPr="00226B8D" w:rsidRDefault="00CD51BD" w:rsidP="000322EC">
            <w:pPr>
              <w:rPr>
                <w:sz w:val="24"/>
                <w:szCs w:val="24"/>
              </w:rPr>
            </w:pPr>
            <w:proofErr w:type="spellStart"/>
            <w:r w:rsidRPr="00226B8D">
              <w:rPr>
                <w:sz w:val="24"/>
                <w:szCs w:val="24"/>
              </w:rPr>
              <w:t>Heteroevaluación</w:t>
            </w:r>
            <w:proofErr w:type="spellEnd"/>
          </w:p>
        </w:tc>
        <w:tc>
          <w:tcPr>
            <w:tcW w:w="3287" w:type="dxa"/>
            <w:gridSpan w:val="2"/>
          </w:tcPr>
          <w:p w:rsidR="00CD51BD" w:rsidRPr="00226B8D" w:rsidRDefault="00CD51BD" w:rsidP="000322EC">
            <w:pPr>
              <w:rPr>
                <w:sz w:val="24"/>
                <w:szCs w:val="24"/>
              </w:rPr>
            </w:pPr>
          </w:p>
        </w:tc>
        <w:tc>
          <w:tcPr>
            <w:tcW w:w="2749" w:type="dxa"/>
            <w:gridSpan w:val="2"/>
          </w:tcPr>
          <w:p w:rsidR="00CD51BD" w:rsidRPr="00226B8D" w:rsidRDefault="00CD51BD" w:rsidP="000322EC">
            <w:pPr>
              <w:rPr>
                <w:sz w:val="24"/>
                <w:szCs w:val="24"/>
              </w:rPr>
            </w:pPr>
          </w:p>
        </w:tc>
        <w:tc>
          <w:tcPr>
            <w:tcW w:w="3825" w:type="dxa"/>
            <w:gridSpan w:val="2"/>
          </w:tcPr>
          <w:p w:rsidR="00CD51BD" w:rsidRPr="00226B8D" w:rsidRDefault="00CD51BD" w:rsidP="000322EC">
            <w:pPr>
              <w:rPr>
                <w:sz w:val="24"/>
                <w:szCs w:val="24"/>
              </w:rPr>
            </w:pPr>
          </w:p>
        </w:tc>
      </w:tr>
      <w:tr w:rsidR="00CD51BD" w:rsidRPr="00226B8D" w:rsidTr="000322EC">
        <w:tc>
          <w:tcPr>
            <w:tcW w:w="3286" w:type="dxa"/>
            <w:gridSpan w:val="2"/>
          </w:tcPr>
          <w:p w:rsidR="00CD51BD" w:rsidRPr="00226B8D" w:rsidRDefault="00CD51BD" w:rsidP="000322EC">
            <w:pPr>
              <w:rPr>
                <w:sz w:val="24"/>
                <w:szCs w:val="24"/>
              </w:rPr>
            </w:pPr>
            <w:proofErr w:type="spellStart"/>
            <w:r w:rsidRPr="00226B8D">
              <w:rPr>
                <w:sz w:val="24"/>
                <w:szCs w:val="24"/>
              </w:rPr>
              <w:t>Metaevaluación</w:t>
            </w:r>
            <w:proofErr w:type="spellEnd"/>
          </w:p>
        </w:tc>
        <w:tc>
          <w:tcPr>
            <w:tcW w:w="3287" w:type="dxa"/>
            <w:gridSpan w:val="2"/>
          </w:tcPr>
          <w:p w:rsidR="00CD51BD" w:rsidRPr="00226B8D" w:rsidRDefault="00CD51BD" w:rsidP="000322EC">
            <w:pPr>
              <w:rPr>
                <w:sz w:val="24"/>
                <w:szCs w:val="24"/>
              </w:rPr>
            </w:pPr>
          </w:p>
        </w:tc>
        <w:tc>
          <w:tcPr>
            <w:tcW w:w="2749" w:type="dxa"/>
            <w:gridSpan w:val="2"/>
          </w:tcPr>
          <w:p w:rsidR="00CD51BD" w:rsidRPr="00226B8D" w:rsidRDefault="00CD51BD" w:rsidP="000322EC">
            <w:pPr>
              <w:rPr>
                <w:sz w:val="24"/>
                <w:szCs w:val="24"/>
              </w:rPr>
            </w:pPr>
          </w:p>
        </w:tc>
        <w:tc>
          <w:tcPr>
            <w:tcW w:w="3825" w:type="dxa"/>
            <w:gridSpan w:val="2"/>
          </w:tcPr>
          <w:p w:rsidR="00CD51BD" w:rsidRPr="00226B8D" w:rsidRDefault="00CD51BD" w:rsidP="000322EC">
            <w:pPr>
              <w:rPr>
                <w:sz w:val="24"/>
                <w:szCs w:val="24"/>
              </w:rPr>
            </w:pPr>
          </w:p>
        </w:tc>
      </w:tr>
    </w:tbl>
    <w:p w:rsidR="00CD51BD" w:rsidRDefault="00CD51BD" w:rsidP="00CD51BD"/>
    <w:p w:rsidR="00495A70" w:rsidRPr="00DF2B48" w:rsidRDefault="00495A70">
      <w:pPr>
        <w:rPr>
          <w:sz w:val="30"/>
          <w:szCs w:val="30"/>
        </w:rPr>
      </w:pPr>
    </w:p>
    <w:sectPr w:rsidR="00495A70" w:rsidRPr="00DF2B48" w:rsidSect="00495A70">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ear Sunshine">
    <w:panose1 w:val="02000500000000000000"/>
    <w:charset w:val="00"/>
    <w:family w:val="auto"/>
    <w:pitch w:val="variable"/>
    <w:sig w:usb0="00000003" w:usb1="1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A70"/>
    <w:rsid w:val="000D1F5F"/>
    <w:rsid w:val="00495A70"/>
    <w:rsid w:val="0068448F"/>
    <w:rsid w:val="007F673B"/>
    <w:rsid w:val="009F67FE"/>
    <w:rsid w:val="00CD51BD"/>
    <w:rsid w:val="00DB1B6F"/>
    <w:rsid w:val="00DF2B48"/>
    <w:rsid w:val="00E419F8"/>
    <w:rsid w:val="00E77E28"/>
    <w:rsid w:val="00F14B7F"/>
    <w:rsid w:val="00F25D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38063-ACD8-490A-8CA2-5A0F6F5E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8448F"/>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Tablaconcuadrcula">
    <w:name w:val="Table Grid"/>
    <w:basedOn w:val="Tablanormal"/>
    <w:uiPriority w:val="59"/>
    <w:rsid w:val="00CD51BD"/>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2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6</Pages>
  <Words>747</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2020-11-24T03:55:00Z</dcterms:created>
  <dcterms:modified xsi:type="dcterms:W3CDTF">2020-11-28T21:13:00Z</dcterms:modified>
</cp:coreProperties>
</file>