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9F" w:rsidRPr="002A5F9F" w:rsidRDefault="00513C69" w:rsidP="00513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F9F">
        <w:rPr>
          <w:rFonts w:ascii="Times New Roman" w:hAnsi="Times New Roman" w:cs="Times New Roman"/>
          <w:b/>
          <w:sz w:val="28"/>
          <w:szCs w:val="24"/>
        </w:rPr>
        <w:t>ESCUELA NORMAL DE EDUCACION PREESCOLAR</w:t>
      </w:r>
    </w:p>
    <w:p w:rsidR="002A5F9F" w:rsidRPr="002A5F9F" w:rsidRDefault="002A5F9F" w:rsidP="00513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F9F">
        <w:rPr>
          <w:rFonts w:ascii="Times New Roman" w:hAnsi="Times New Roman" w:cs="Times New Roman"/>
          <w:b/>
          <w:sz w:val="28"/>
          <w:szCs w:val="24"/>
        </w:rPr>
        <w:t>LICENCIATURA EN EDUCACIÒN</w:t>
      </w:r>
    </w:p>
    <w:p w:rsidR="002A5F9F" w:rsidRPr="002A5F9F" w:rsidRDefault="002A5F9F" w:rsidP="002A5F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F9F">
        <w:rPr>
          <w:rFonts w:ascii="Times New Roman" w:hAnsi="Times New Roman" w:cs="Times New Roman"/>
          <w:b/>
          <w:sz w:val="28"/>
          <w:szCs w:val="24"/>
        </w:rPr>
        <w:t>CICLO ESCOLAR 2020-2021</w:t>
      </w:r>
      <w:bookmarkStart w:id="0" w:name="_GoBack"/>
      <w:bookmarkEnd w:id="0"/>
    </w:p>
    <w:p w:rsidR="00513C69" w:rsidRDefault="00513C69" w:rsidP="00513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F9F" w:rsidRPr="002A5F9F" w:rsidRDefault="002A5F9F" w:rsidP="00513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9F">
        <w:rPr>
          <w:rFonts w:ascii="Times New Roman" w:hAnsi="Times New Roman" w:cs="Times New Roman"/>
          <w:b/>
          <w:sz w:val="24"/>
          <w:szCs w:val="24"/>
        </w:rPr>
        <w:t>ASIGNATURA:</w:t>
      </w:r>
    </w:p>
    <w:p w:rsidR="002A5F9F" w:rsidRDefault="002A5F9F" w:rsidP="00513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FORMACIÒN CIUDADANA </w:t>
      </w:r>
    </w:p>
    <w:p w:rsidR="002A5F9F" w:rsidRPr="002A5F9F" w:rsidRDefault="002A5F9F" w:rsidP="00513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9F">
        <w:rPr>
          <w:rFonts w:ascii="Times New Roman" w:hAnsi="Times New Roman" w:cs="Times New Roman"/>
          <w:b/>
          <w:sz w:val="24"/>
          <w:szCs w:val="24"/>
        </w:rPr>
        <w:t>MAESTRA:</w:t>
      </w:r>
    </w:p>
    <w:p w:rsidR="002A5F9F" w:rsidRDefault="002A5F9F" w:rsidP="00513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ELIZABETH CERDA OROCIO </w:t>
      </w:r>
    </w:p>
    <w:p w:rsidR="00513C69" w:rsidRPr="002A5F9F" w:rsidRDefault="00513C69" w:rsidP="00513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F9F">
        <w:rPr>
          <w:rFonts w:ascii="Times New Roman" w:hAnsi="Times New Roman" w:cs="Times New Roman"/>
          <w:b/>
          <w:sz w:val="28"/>
          <w:szCs w:val="24"/>
        </w:rPr>
        <w:t>INTEGRANTES: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PALOMO RODRIGUEZ YADIRA ALEJANDRA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ANA LILIA RETTA RIOJAS 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DANIELA GUADALUPE QUILANTAN RANGEL 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KARYME MUÑIZ LIMON 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GABRIELA</w:t>
      </w:r>
      <w:r>
        <w:rPr>
          <w:rFonts w:ascii="Times New Roman" w:hAnsi="Times New Roman" w:cs="Times New Roman"/>
          <w:sz w:val="28"/>
          <w:szCs w:val="24"/>
        </w:rPr>
        <w:t xml:space="preserve"> GUADALUPE RODRIGUEZ DIAZ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A5F9F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2A5F9F">
        <w:rPr>
          <w:rFonts w:ascii="Times New Roman" w:hAnsi="Times New Roman" w:cs="Times New Roman"/>
          <w:b/>
          <w:sz w:val="28"/>
          <w:szCs w:val="24"/>
        </w:rPr>
        <w:t>TRABAJO A DESARROLLAR:</w:t>
      </w:r>
    </w:p>
    <w:p w:rsidR="00565E62" w:rsidRDefault="00565E62" w:rsidP="002A5F9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PLANTEAMIENTOS PEDAGOGICOS EN TORNO A LA FORMACION CIUDADANA EN EDUCACION INFANTIL</w:t>
      </w:r>
    </w:p>
    <w:p w:rsidR="002A5F9F" w:rsidRDefault="00565E62" w:rsidP="002A5F9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GRUPO: 4</w:t>
      </w:r>
      <w:r w:rsidR="002A5F9F">
        <w:rPr>
          <w:rFonts w:ascii="Times New Roman" w:hAnsi="Times New Roman" w:cs="Times New Roman"/>
          <w:sz w:val="28"/>
          <w:szCs w:val="24"/>
        </w:rPr>
        <w:t xml:space="preserve"> SECCIÓN: B</w:t>
      </w:r>
    </w:p>
    <w:p w:rsidR="00513C69" w:rsidRPr="002A5F9F" w:rsidRDefault="00565E62" w:rsidP="002A5F9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SALTILLO, COAHUILA A 16 DE DICIEMBRE DEL 2020.</w:t>
      </w:r>
      <w:r w:rsidR="00513C69">
        <w:rPr>
          <w:rFonts w:ascii="Times New Roman" w:hAnsi="Times New Roman" w:cs="Times New Roman"/>
          <w:sz w:val="24"/>
          <w:szCs w:val="24"/>
        </w:rPr>
        <w:br w:type="page"/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lastRenderedPageBreak/>
        <w:t xml:space="preserve">La educación preescolar puede contribuir de manera positiva a los potenciales con los que una sociedad puede contar para su transformación estructural y cultural. La participación infantil constituye en un factor clave para el desarrollo social; a la modificación de las condiciones de inequidad, a través de personas más conscientes de su papel transformador, de sus derechos y deberes como ciudadanos. </w:t>
      </w:r>
      <w:proofErr w:type="spellStart"/>
      <w:r w:rsidRPr="00513C69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513C69">
        <w:rPr>
          <w:rFonts w:ascii="Times New Roman" w:hAnsi="Times New Roman" w:cs="Times New Roman"/>
          <w:sz w:val="24"/>
          <w:szCs w:val="24"/>
        </w:rPr>
        <w:t xml:space="preserve"> (1999) planteó que una clave para romper el ciclo de la pobreza es la inversión en la educación inicial. El aprendizaje empieza antes que el inicio de la educación formal. 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Las estrategias adecuadas para promover la formación cívica y ética en educación preescolar son prácticas que se relacionan con los contenidos y ponen en juego las habilidades, conocimientos y destrezas de los estudiantes. Para utilizarlas será necesario planearlas con anticipación y definir cuál es el momento adecuado para realizarlas.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Frida Díaz Barriga y Gerardo Hernández Rojas ubican los diferentes tipos de estrategias en tres grandes grupos a los que definen del siguiente modo: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apoyo: se ubican en el plano afectivo-motivacional y permiten al aprendiz mantener un estado propicio para el aprendizaje. Pueden optimizar la concentración, reducir la ansiedad ante situaciones de aprendizaje y evaluación, dirigir la atención, organizar las actividades y tiempo de estudio, etcétera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aprendizaje o inducidas: procedimientos y habilidades que el alumno posee y emplea en forma flexible para aprender y recordar la información, afectando los procesos de adquisición, almacenamiento y utilización de la información</w:t>
      </w:r>
    </w:p>
    <w:p w:rsid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enseñanza: consisten en realizar manipulaciones o modificaciones en el contenido o estructura de los materiales de aprendizaje, o por extensión dentro de un curso o una clase, con el objeto de facilitar el aprendizaje y comprensión de los alumnos. Son planeadas por el agente de enseñanza (docente, diseñador de materiales o software educativo) y deben utilizarse en forma inteligente y creativa</w:t>
      </w:r>
      <w:r w:rsidR="00FC5564">
        <w:rPr>
          <w:rFonts w:ascii="Times New Roman" w:hAnsi="Times New Roman" w:cs="Times New Roman"/>
          <w:sz w:val="24"/>
          <w:szCs w:val="24"/>
        </w:rPr>
        <w:t>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 xml:space="preserve">Los docentes deben conocer y desarrollar estrategias metodológicas como lo son los talleres creativos para la participación, encuentros de reflexión pedagógica, espacios para el dialogo y sobre todo debe establecer un vínculo entre la comunidad y la escuela, incorporando actividades que propicien espacios de reconocimiento, valoración y afección entre los </w:t>
      </w:r>
      <w:r w:rsidRPr="00FC5564">
        <w:rPr>
          <w:rFonts w:ascii="Times New Roman" w:hAnsi="Times New Roman" w:cs="Times New Roman"/>
          <w:sz w:val="24"/>
          <w:szCs w:val="24"/>
        </w:rPr>
        <w:lastRenderedPageBreak/>
        <w:t>ciudadanos y su entorno, de forma que los alumnos encuentren compromiso, amor y responsabilidad en su proceso de formación. Además, debe guiar su práctica bajo los 10 principios pedagógicos: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1.- Entender la práctica como un proceso de transformación y como la oportunidad de convivir entre iguales.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2.- La formación para la participación es un proceso reconstructivo.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3.- El juego y la expresión artística propician la comunicación y le dan significado al aprendizaje.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4.- El docente debe tener empatía.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5.- Ampliar su propia capacidad de reflexión.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6.- No anteponer las finalidades de formación al proceso pedagógico.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 xml:space="preserve">7.- Entender la participación como una </w:t>
      </w:r>
      <w:proofErr w:type="spellStart"/>
      <w:proofErr w:type="gramStart"/>
      <w:r w:rsidRPr="00FC5564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C5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8.- Situar la formación para la participación en el contexto.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9.- Cada participante aporta lo que es y lo que tiene.</w:t>
      </w:r>
    </w:p>
    <w:p w:rsidR="00FC5564" w:rsidRPr="00513C69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10.- La creatividad es un bien social.</w:t>
      </w:r>
    </w:p>
    <w:sectPr w:rsidR="00FC5564" w:rsidRPr="00513C69" w:rsidSect="00565E6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9"/>
    <w:rsid w:val="002A5F9F"/>
    <w:rsid w:val="00513C69"/>
    <w:rsid w:val="00565E62"/>
    <w:rsid w:val="00A55516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AF5"/>
  <w15:chartTrackingRefBased/>
  <w15:docId w15:val="{42831D2F-7DC8-42FC-8D1E-25F90F2C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pacit</dc:creator>
  <cp:keywords/>
  <dc:description/>
  <cp:lastModifiedBy>yadiraapolomoo@gmail.com</cp:lastModifiedBy>
  <cp:revision>2</cp:revision>
  <dcterms:created xsi:type="dcterms:W3CDTF">2020-12-17T17:53:00Z</dcterms:created>
  <dcterms:modified xsi:type="dcterms:W3CDTF">2020-12-17T17:53:00Z</dcterms:modified>
</cp:coreProperties>
</file>