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C69" w:rsidRPr="00565E62" w:rsidRDefault="00513C69" w:rsidP="00513C6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565E62">
        <w:rPr>
          <w:rFonts w:ascii="Times New Roman" w:hAnsi="Times New Roman" w:cs="Times New Roman"/>
          <w:sz w:val="28"/>
          <w:szCs w:val="24"/>
        </w:rPr>
        <w:t>ESCUELA NORMAL DE EDUCACION PREESCOLAR</w:t>
      </w:r>
    </w:p>
    <w:p w:rsidR="00513C69" w:rsidRDefault="00513C69" w:rsidP="00513C6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C69" w:rsidRPr="00565E62" w:rsidRDefault="00513C69" w:rsidP="00513C69">
      <w:pPr>
        <w:jc w:val="center"/>
        <w:rPr>
          <w:rFonts w:ascii="Times New Roman" w:hAnsi="Times New Roman" w:cs="Times New Roman"/>
          <w:sz w:val="28"/>
          <w:szCs w:val="24"/>
        </w:rPr>
      </w:pPr>
      <w:r w:rsidRPr="00565E62">
        <w:rPr>
          <w:rFonts w:ascii="Times New Roman" w:hAnsi="Times New Roman" w:cs="Times New Roman"/>
          <w:sz w:val="28"/>
          <w:szCs w:val="24"/>
        </w:rPr>
        <w:t>INTEGRANTES:</w:t>
      </w:r>
    </w:p>
    <w:p w:rsidR="00513C69" w:rsidRPr="00565E62" w:rsidRDefault="00513C69" w:rsidP="00513C69">
      <w:pPr>
        <w:jc w:val="center"/>
        <w:rPr>
          <w:rFonts w:ascii="Times New Roman" w:hAnsi="Times New Roman" w:cs="Times New Roman"/>
          <w:sz w:val="28"/>
          <w:szCs w:val="24"/>
        </w:rPr>
      </w:pPr>
      <w:r w:rsidRPr="00565E62">
        <w:rPr>
          <w:rFonts w:ascii="Times New Roman" w:hAnsi="Times New Roman" w:cs="Times New Roman"/>
          <w:sz w:val="28"/>
          <w:szCs w:val="24"/>
        </w:rPr>
        <w:t>PALOMO RODRIGUEZ YADIRA ALEJANDRA</w:t>
      </w:r>
    </w:p>
    <w:p w:rsidR="00513C69" w:rsidRPr="00565E62" w:rsidRDefault="00513C69" w:rsidP="00513C69">
      <w:pPr>
        <w:jc w:val="center"/>
        <w:rPr>
          <w:rFonts w:ascii="Times New Roman" w:hAnsi="Times New Roman" w:cs="Times New Roman"/>
          <w:sz w:val="28"/>
          <w:szCs w:val="24"/>
        </w:rPr>
      </w:pPr>
      <w:r w:rsidRPr="00565E62">
        <w:rPr>
          <w:rFonts w:ascii="Times New Roman" w:hAnsi="Times New Roman" w:cs="Times New Roman"/>
          <w:sz w:val="28"/>
          <w:szCs w:val="24"/>
        </w:rPr>
        <w:t xml:space="preserve">ANA LILIA RETTA RIOJAS </w:t>
      </w:r>
    </w:p>
    <w:p w:rsidR="00513C69" w:rsidRPr="00565E62" w:rsidRDefault="00513C69" w:rsidP="00513C69">
      <w:pPr>
        <w:jc w:val="center"/>
        <w:rPr>
          <w:rFonts w:ascii="Times New Roman" w:hAnsi="Times New Roman" w:cs="Times New Roman"/>
          <w:sz w:val="28"/>
          <w:szCs w:val="24"/>
        </w:rPr>
      </w:pPr>
      <w:r w:rsidRPr="00565E62">
        <w:rPr>
          <w:rFonts w:ascii="Times New Roman" w:hAnsi="Times New Roman" w:cs="Times New Roman"/>
          <w:sz w:val="28"/>
          <w:szCs w:val="24"/>
        </w:rPr>
        <w:t xml:space="preserve">DANIELA GUADALUPE QUILANTAN RANGEL </w:t>
      </w:r>
    </w:p>
    <w:p w:rsidR="00513C69" w:rsidRPr="00565E62" w:rsidRDefault="00513C69" w:rsidP="00513C69">
      <w:pPr>
        <w:jc w:val="center"/>
        <w:rPr>
          <w:rFonts w:ascii="Times New Roman" w:hAnsi="Times New Roman" w:cs="Times New Roman"/>
          <w:sz w:val="28"/>
          <w:szCs w:val="24"/>
        </w:rPr>
      </w:pPr>
      <w:r w:rsidRPr="00565E62">
        <w:rPr>
          <w:rFonts w:ascii="Times New Roman" w:hAnsi="Times New Roman" w:cs="Times New Roman"/>
          <w:sz w:val="28"/>
          <w:szCs w:val="24"/>
        </w:rPr>
        <w:t xml:space="preserve">KARYME MUÑIZ LIMON </w:t>
      </w:r>
    </w:p>
    <w:p w:rsidR="00565E62" w:rsidRDefault="00565E62" w:rsidP="00513C69">
      <w:pPr>
        <w:jc w:val="center"/>
        <w:rPr>
          <w:rFonts w:ascii="Times New Roman" w:hAnsi="Times New Roman" w:cs="Times New Roman"/>
          <w:sz w:val="28"/>
          <w:szCs w:val="24"/>
        </w:rPr>
      </w:pPr>
      <w:r w:rsidRPr="00565E62">
        <w:rPr>
          <w:rFonts w:ascii="Times New Roman" w:hAnsi="Times New Roman" w:cs="Times New Roman"/>
          <w:sz w:val="28"/>
          <w:szCs w:val="24"/>
        </w:rPr>
        <w:t>GABRIELA</w:t>
      </w:r>
      <w:r>
        <w:rPr>
          <w:rFonts w:ascii="Times New Roman" w:hAnsi="Times New Roman" w:cs="Times New Roman"/>
          <w:sz w:val="28"/>
          <w:szCs w:val="24"/>
        </w:rPr>
        <w:t xml:space="preserve"> GUADALUPE RODRIGUEZ DIAZ</w:t>
      </w:r>
    </w:p>
    <w:p w:rsidR="00565E62" w:rsidRDefault="00565E62" w:rsidP="00513C6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565E62" w:rsidRDefault="00565E62" w:rsidP="00513C69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TRABAJO A DESARROLLAR: PLANTEAMIENTOS PEDAGOGICOS EN TORNO A LA FORMACION CIUDADANA EN EDUCACION INFANTIL</w:t>
      </w:r>
    </w:p>
    <w:p w:rsidR="00565E62" w:rsidRDefault="00565E62" w:rsidP="00513C69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GRUPO: 4</w:t>
      </w:r>
    </w:p>
    <w:p w:rsidR="00565E62" w:rsidRDefault="00565E62" w:rsidP="00513C69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SECCIÓN: B </w:t>
      </w:r>
    </w:p>
    <w:p w:rsidR="00565E62" w:rsidRDefault="00565E62" w:rsidP="00513C6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565E62" w:rsidRDefault="00565E62" w:rsidP="00513C6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565E62" w:rsidRDefault="00565E62" w:rsidP="00513C6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565E62" w:rsidRDefault="00565E62" w:rsidP="00513C6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565E62" w:rsidRDefault="00565E62" w:rsidP="00513C6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565E62" w:rsidRDefault="00565E62" w:rsidP="00513C6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565E62" w:rsidRDefault="00565E62" w:rsidP="00513C6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565E62" w:rsidRDefault="00565E62" w:rsidP="00513C6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513C69" w:rsidRDefault="00565E62" w:rsidP="00513C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SALTILLO, COAHUILA A 16 DE DICIEMBRE DEL 2020.</w:t>
      </w:r>
      <w:r w:rsidR="00513C69">
        <w:rPr>
          <w:rFonts w:ascii="Times New Roman" w:hAnsi="Times New Roman" w:cs="Times New Roman"/>
          <w:sz w:val="24"/>
          <w:szCs w:val="24"/>
        </w:rPr>
        <w:br w:type="page"/>
      </w:r>
    </w:p>
    <w:p w:rsidR="00513C69" w:rsidRPr="00513C69" w:rsidRDefault="00513C69" w:rsidP="0051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3C69">
        <w:rPr>
          <w:rFonts w:ascii="Times New Roman" w:hAnsi="Times New Roman" w:cs="Times New Roman"/>
          <w:sz w:val="24"/>
          <w:szCs w:val="24"/>
        </w:rPr>
        <w:lastRenderedPageBreak/>
        <w:t xml:space="preserve">La educación preescolar puede contribuir de manera positiva a los potenciales con los que una sociedad puede contar para su transformación estructural y cultural. La participación infantil constituye en un factor clave para el desarrollo social; a la modificación de las condiciones de inequidad, a través de personas más conscientes de su papel transformador, de sus derechos y deberes como ciudadanos. </w:t>
      </w:r>
      <w:proofErr w:type="spellStart"/>
      <w:r w:rsidRPr="00513C69">
        <w:rPr>
          <w:rFonts w:ascii="Times New Roman" w:hAnsi="Times New Roman" w:cs="Times New Roman"/>
          <w:sz w:val="24"/>
          <w:szCs w:val="24"/>
        </w:rPr>
        <w:t>Sen</w:t>
      </w:r>
      <w:proofErr w:type="spellEnd"/>
      <w:r w:rsidRPr="00513C69">
        <w:rPr>
          <w:rFonts w:ascii="Times New Roman" w:hAnsi="Times New Roman" w:cs="Times New Roman"/>
          <w:sz w:val="24"/>
          <w:szCs w:val="24"/>
        </w:rPr>
        <w:t xml:space="preserve"> (1999) planteó que una clave para romper el ciclo de la pobreza es la inversión en la educación inicial. El aprendizaje empieza antes que el inicio de la educación formal. </w:t>
      </w:r>
    </w:p>
    <w:p w:rsidR="00513C69" w:rsidRPr="00513C69" w:rsidRDefault="00513C69" w:rsidP="0051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3C69">
        <w:rPr>
          <w:rFonts w:ascii="Times New Roman" w:hAnsi="Times New Roman" w:cs="Times New Roman"/>
          <w:sz w:val="24"/>
          <w:szCs w:val="24"/>
        </w:rPr>
        <w:t>Las estrategias adecuadas para promover la formación cívica y ética en educación preescolar son prácticas que se relacionan con los contenidos y ponen en juego las habilidades, conocimientos y destrezas de los estudiantes. Para utilizarlas será necesario planearlas con anticipación y definir cuál es el momento adecuado para realizarlas.</w:t>
      </w:r>
    </w:p>
    <w:p w:rsidR="00513C69" w:rsidRPr="00513C69" w:rsidRDefault="00513C69" w:rsidP="0051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3C69">
        <w:rPr>
          <w:rFonts w:ascii="Times New Roman" w:hAnsi="Times New Roman" w:cs="Times New Roman"/>
          <w:sz w:val="24"/>
          <w:szCs w:val="24"/>
        </w:rPr>
        <w:t>Frida Díaz Barriga y Gerardo Hernández Rojas ubican los diferentes tipos de estrategias en tres grandes grupos a los que definen del siguiente modo:</w:t>
      </w:r>
    </w:p>
    <w:p w:rsidR="00513C69" w:rsidRPr="00513C69" w:rsidRDefault="00513C69" w:rsidP="0051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3C69">
        <w:rPr>
          <w:rFonts w:ascii="Times New Roman" w:hAnsi="Times New Roman" w:cs="Times New Roman"/>
          <w:sz w:val="24"/>
          <w:szCs w:val="24"/>
        </w:rPr>
        <w:t>Estrategias de apoyo: se ubican en el plano afectivo-motivacional y permiten al aprendiz mantener un estado propicio para el aprendizaje. Pueden optimizar la concentración, reducir la ansiedad ante situaciones de aprendizaje y evaluación, dirigir la atención, organizar las actividades y tiempo de estudio, etcétera</w:t>
      </w:r>
    </w:p>
    <w:p w:rsidR="00513C69" w:rsidRPr="00513C69" w:rsidRDefault="00513C69" w:rsidP="0051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3C69">
        <w:rPr>
          <w:rFonts w:ascii="Times New Roman" w:hAnsi="Times New Roman" w:cs="Times New Roman"/>
          <w:sz w:val="24"/>
          <w:szCs w:val="24"/>
        </w:rPr>
        <w:t>Estrategias de aprendizaje o inducidas: procedimientos y habilidades que el alumno posee y emplea en forma flexible para aprender y recordar la información, afectando los procesos de adquisición, almacenamiento y utilización de la información</w:t>
      </w:r>
    </w:p>
    <w:p w:rsidR="00513C69" w:rsidRDefault="00513C69" w:rsidP="0051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3C69">
        <w:rPr>
          <w:rFonts w:ascii="Times New Roman" w:hAnsi="Times New Roman" w:cs="Times New Roman"/>
          <w:sz w:val="24"/>
          <w:szCs w:val="24"/>
        </w:rPr>
        <w:t>Estrategias de enseñanza: consisten en realizar manipulaciones o modificaciones en el contenido o estructura de los materiales de aprendizaje, o por extensión dentro de un curso o una clase, con el objeto de facilitar el aprendizaje y comprensión de los alumnos. Son planeadas por el agente de enseñanza (docente, diseñador de materiales o software educativo) y deben utilizarse en forma inteligente y creativa</w:t>
      </w:r>
      <w:r w:rsidR="00FC5564">
        <w:rPr>
          <w:rFonts w:ascii="Times New Roman" w:hAnsi="Times New Roman" w:cs="Times New Roman"/>
          <w:sz w:val="24"/>
          <w:szCs w:val="24"/>
        </w:rPr>
        <w:t>.</w:t>
      </w:r>
    </w:p>
    <w:p w:rsidR="00FC5564" w:rsidRPr="00FC5564" w:rsidRDefault="00FC5564" w:rsidP="00FC55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5564">
        <w:rPr>
          <w:rFonts w:ascii="Times New Roman" w:hAnsi="Times New Roman" w:cs="Times New Roman"/>
          <w:sz w:val="24"/>
          <w:szCs w:val="24"/>
        </w:rPr>
        <w:t>Los docentes deben conocer y desarrollar estrategias metodológicas como lo son los talleres creativos para la participación, encuentros de reflexión pedagógica, espacios para el dialogo y sobre todo debe establecer un vínculo entre la comunidad y la escuela, incorporando actividades que propicien espacios de reconocimiento, valoración y afección entre los ciudadanos y su entorno, de forma que los alumnos encuentren compromiso, amor y responsabilidad en su proceso de formación. Además, debe guiar su práctica bajo los 10 principios pedagógicos:</w:t>
      </w:r>
    </w:p>
    <w:p w:rsidR="00FC5564" w:rsidRPr="00FC5564" w:rsidRDefault="00FC5564" w:rsidP="00FC55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5564">
        <w:rPr>
          <w:rFonts w:ascii="Times New Roman" w:hAnsi="Times New Roman" w:cs="Times New Roman"/>
          <w:sz w:val="24"/>
          <w:szCs w:val="24"/>
        </w:rPr>
        <w:t>1.- Entender la práctica como un proceso de transformación y como la oportunidad de convivir entre iguales.</w:t>
      </w:r>
    </w:p>
    <w:p w:rsidR="00FC5564" w:rsidRPr="00FC5564" w:rsidRDefault="00FC5564" w:rsidP="00FC55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5564">
        <w:rPr>
          <w:rFonts w:ascii="Times New Roman" w:hAnsi="Times New Roman" w:cs="Times New Roman"/>
          <w:sz w:val="24"/>
          <w:szCs w:val="24"/>
        </w:rPr>
        <w:t>2.- La formación para la participación es un proceso reconstructivo.</w:t>
      </w:r>
    </w:p>
    <w:p w:rsidR="00FC5564" w:rsidRPr="00FC5564" w:rsidRDefault="00FC5564" w:rsidP="00FC55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5564">
        <w:rPr>
          <w:rFonts w:ascii="Times New Roman" w:hAnsi="Times New Roman" w:cs="Times New Roman"/>
          <w:sz w:val="24"/>
          <w:szCs w:val="24"/>
        </w:rPr>
        <w:t>3.- El juego y la expresión artística propician la comunicación y le dan significado al aprendizaje.</w:t>
      </w:r>
    </w:p>
    <w:p w:rsidR="00FC5564" w:rsidRPr="00FC5564" w:rsidRDefault="00FC5564" w:rsidP="00FC55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5564">
        <w:rPr>
          <w:rFonts w:ascii="Times New Roman" w:hAnsi="Times New Roman" w:cs="Times New Roman"/>
          <w:sz w:val="24"/>
          <w:szCs w:val="24"/>
        </w:rPr>
        <w:t>4.- El docente debe tener empatía.</w:t>
      </w:r>
    </w:p>
    <w:p w:rsidR="00FC5564" w:rsidRPr="00FC5564" w:rsidRDefault="00FC5564" w:rsidP="00FC55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5564">
        <w:rPr>
          <w:rFonts w:ascii="Times New Roman" w:hAnsi="Times New Roman" w:cs="Times New Roman"/>
          <w:sz w:val="24"/>
          <w:szCs w:val="24"/>
        </w:rPr>
        <w:t>5.- Ampliar su propia capacidad de reflexión.</w:t>
      </w:r>
    </w:p>
    <w:p w:rsidR="00FC5564" w:rsidRPr="00FC5564" w:rsidRDefault="00FC5564" w:rsidP="00FC55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5564">
        <w:rPr>
          <w:rFonts w:ascii="Times New Roman" w:hAnsi="Times New Roman" w:cs="Times New Roman"/>
          <w:sz w:val="24"/>
          <w:szCs w:val="24"/>
        </w:rPr>
        <w:t>6.- No anteponer las finalidades de formación al proceso pedagógico.</w:t>
      </w:r>
    </w:p>
    <w:p w:rsidR="00FC5564" w:rsidRPr="00FC5564" w:rsidRDefault="00FC5564" w:rsidP="00FC55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5564">
        <w:rPr>
          <w:rFonts w:ascii="Times New Roman" w:hAnsi="Times New Roman" w:cs="Times New Roman"/>
          <w:sz w:val="24"/>
          <w:szCs w:val="24"/>
        </w:rPr>
        <w:t xml:space="preserve">7.- Entender la participación como una </w:t>
      </w:r>
      <w:proofErr w:type="spellStart"/>
      <w:proofErr w:type="gramStart"/>
      <w:r w:rsidRPr="00FC5564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Pr="00FC55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C5564" w:rsidRPr="00FC5564" w:rsidRDefault="00FC5564" w:rsidP="00FC55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5564">
        <w:rPr>
          <w:rFonts w:ascii="Times New Roman" w:hAnsi="Times New Roman" w:cs="Times New Roman"/>
          <w:sz w:val="24"/>
          <w:szCs w:val="24"/>
        </w:rPr>
        <w:t>8.- Situar la formación para la participación en el contexto.</w:t>
      </w:r>
    </w:p>
    <w:p w:rsidR="00FC5564" w:rsidRPr="00FC5564" w:rsidRDefault="00FC5564" w:rsidP="00FC55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5564">
        <w:rPr>
          <w:rFonts w:ascii="Times New Roman" w:hAnsi="Times New Roman" w:cs="Times New Roman"/>
          <w:sz w:val="24"/>
          <w:szCs w:val="24"/>
        </w:rPr>
        <w:t>9.- Cada participante aporta lo que es y lo que tiene.</w:t>
      </w:r>
    </w:p>
    <w:p w:rsidR="00FC5564" w:rsidRPr="00513C69" w:rsidRDefault="00FC5564" w:rsidP="00FC55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5564">
        <w:rPr>
          <w:rFonts w:ascii="Times New Roman" w:hAnsi="Times New Roman" w:cs="Times New Roman"/>
          <w:sz w:val="24"/>
          <w:szCs w:val="24"/>
        </w:rPr>
        <w:t>10.- La creatividad es un bien social.</w:t>
      </w:r>
    </w:p>
    <w:sectPr w:rsidR="00FC5564" w:rsidRPr="00513C69" w:rsidSect="00565E62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69"/>
    <w:rsid w:val="00513C69"/>
    <w:rsid w:val="00565E62"/>
    <w:rsid w:val="009835D0"/>
    <w:rsid w:val="00A55516"/>
    <w:rsid w:val="00FC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31D2F-7DC8-42FC-8D1E-25F90F2C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pacit</dc:creator>
  <cp:keywords/>
  <dc:description/>
  <cp:lastModifiedBy>Admin</cp:lastModifiedBy>
  <cp:revision>2</cp:revision>
  <dcterms:created xsi:type="dcterms:W3CDTF">2020-12-17T03:16:00Z</dcterms:created>
  <dcterms:modified xsi:type="dcterms:W3CDTF">2020-12-17T03:16:00Z</dcterms:modified>
</cp:coreProperties>
</file>