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35504E5C">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409C055F" w14:textId="77777777" w:rsidR="0004741C" w:rsidRDefault="0004741C" w:rsidP="00982C86">
      <w:pPr>
        <w:jc w:val="center"/>
        <w:rPr>
          <w:rFonts w:ascii="Times New Roman" w:eastAsia="Times New Roman" w:hAnsi="Times New Roman" w:cs="Times New Roman"/>
          <w:color w:val="000000"/>
          <w:sz w:val="28"/>
          <w:szCs w:val="24"/>
          <w:lang w:eastAsia="es-MX"/>
        </w:rPr>
      </w:pPr>
    </w:p>
    <w:p w14:paraId="203DA429" w14:textId="77777777" w:rsidR="0004741C" w:rsidRDefault="0004741C" w:rsidP="00982C86">
      <w:pPr>
        <w:jc w:val="center"/>
        <w:rPr>
          <w:rFonts w:ascii="Times New Roman" w:eastAsia="Times New Roman" w:hAnsi="Times New Roman" w:cs="Times New Roman"/>
          <w:color w:val="000000"/>
          <w:sz w:val="28"/>
          <w:szCs w:val="24"/>
          <w:lang w:eastAsia="es-MX"/>
        </w:rPr>
      </w:pPr>
    </w:p>
    <w:p w14:paraId="1D193843" w14:textId="1C966FB8" w:rsidR="00982C86" w:rsidRDefault="00982C86" w:rsidP="0004741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01D6A8ED" w14:textId="0DB019CC"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w:t>
      </w:r>
      <w:r w:rsidR="00102323">
        <w:rPr>
          <w:rFonts w:ascii="Times New Roman" w:eastAsia="Times New Roman" w:hAnsi="Times New Roman" w:cs="Times New Roman"/>
          <w:color w:val="000000"/>
          <w:sz w:val="28"/>
          <w:szCs w:val="24"/>
          <w:lang w:eastAsia="es-MX"/>
        </w:rPr>
        <w:t>Estrategias de Trabajo Docente</w:t>
      </w:r>
    </w:p>
    <w:p w14:paraId="6A5073DC" w14:textId="77777777" w:rsidR="0004741C" w:rsidRDefault="0004741C" w:rsidP="00982C86">
      <w:pPr>
        <w:jc w:val="center"/>
        <w:rPr>
          <w:rFonts w:ascii="Times New Roman" w:eastAsia="Times New Roman" w:hAnsi="Times New Roman" w:cs="Times New Roman"/>
          <w:color w:val="000000"/>
          <w:sz w:val="28"/>
          <w:szCs w:val="24"/>
          <w:lang w:eastAsia="es-MX"/>
        </w:rPr>
      </w:pPr>
    </w:p>
    <w:p w14:paraId="5E149F52" w14:textId="3F1E958F" w:rsidR="0074770F" w:rsidRPr="0014446C" w:rsidRDefault="0004741C" w:rsidP="0074770F">
      <w:pPr>
        <w:pStyle w:val="Ttulo2"/>
        <w:spacing w:before="75" w:beforeAutospacing="0" w:after="75" w:afterAutospacing="0"/>
        <w:jc w:val="center"/>
        <w:rPr>
          <w:b w:val="0"/>
          <w:iCs/>
          <w:color w:val="000000"/>
          <w:sz w:val="28"/>
          <w:szCs w:val="32"/>
        </w:rPr>
      </w:pPr>
      <w:r w:rsidRPr="0074770F">
        <w:rPr>
          <w:iCs/>
          <w:color w:val="000000"/>
          <w:sz w:val="28"/>
          <w:szCs w:val="32"/>
        </w:rPr>
        <w:t xml:space="preserve">Actividad: </w:t>
      </w:r>
      <w:r w:rsidR="0014446C" w:rsidRPr="0014446C">
        <w:rPr>
          <w:b w:val="0"/>
          <w:iCs/>
          <w:color w:val="000000"/>
          <w:sz w:val="28"/>
          <w:szCs w:val="32"/>
        </w:rPr>
        <w:t>Díaz Barriga F. (2006). Enseñanza Situada. México: Mc Graw Hill</w:t>
      </w:r>
    </w:p>
    <w:p w14:paraId="6C9615D9" w14:textId="1E26EE56" w:rsidR="0004741C" w:rsidRPr="0004741C" w:rsidRDefault="0004741C" w:rsidP="00102323">
      <w:pPr>
        <w:spacing w:before="75" w:after="75" w:line="240" w:lineRule="auto"/>
        <w:jc w:val="center"/>
        <w:outlineLvl w:val="1"/>
        <w:rPr>
          <w:rFonts w:ascii="Times New Roman" w:eastAsia="Times New Roman" w:hAnsi="Times New Roman" w:cs="Times New Roman"/>
          <w:b/>
          <w:bCs/>
          <w:iCs/>
          <w:color w:val="000000"/>
          <w:sz w:val="32"/>
          <w:szCs w:val="32"/>
          <w:lang w:eastAsia="es-MX"/>
        </w:rPr>
      </w:pPr>
    </w:p>
    <w:p w14:paraId="231B4711"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6557725C" w14:textId="440827C6"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w:t>
      </w:r>
      <w:r w:rsidR="00102323">
        <w:rPr>
          <w:rFonts w:ascii="Times New Roman" w:eastAsia="Times New Roman" w:hAnsi="Times New Roman" w:cs="Times New Roman"/>
          <w:color w:val="000000"/>
          <w:sz w:val="28"/>
          <w:szCs w:val="24"/>
          <w:lang w:eastAsia="es-MX"/>
        </w:rPr>
        <w:t>Angelica María Rocca Valdés</w:t>
      </w:r>
    </w:p>
    <w:p w14:paraId="66CB1E0B"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194C780C" w14:textId="77777777" w:rsidR="00982C86" w:rsidRDefault="00982C86" w:rsidP="00982C86">
      <w:pPr>
        <w:jc w:val="center"/>
        <w:rPr>
          <w:rFonts w:ascii="Times New Roman" w:eastAsia="Times New Roman" w:hAnsi="Times New Roman" w:cs="Times New Roman"/>
          <w:color w:val="000000"/>
          <w:sz w:val="28"/>
          <w:szCs w:val="24"/>
          <w:lang w:eastAsia="es-MX"/>
        </w:rPr>
      </w:pP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74CF0679" w14:textId="387ADE73" w:rsidR="00982C86" w:rsidRDefault="00982C86" w:rsidP="3DBEEEB7">
      <w:pPr>
        <w:jc w:val="center"/>
        <w:rPr>
          <w:rFonts w:ascii="Times New Roman" w:eastAsia="Times New Roman" w:hAnsi="Times New Roman" w:cs="Times New Roman"/>
          <w:color w:val="000000"/>
          <w:sz w:val="28"/>
          <w:szCs w:val="28"/>
          <w:lang w:eastAsia="es-MX"/>
        </w:rPr>
      </w:pPr>
    </w:p>
    <w:p w14:paraId="5CB4B6BF" w14:textId="1BD3967B" w:rsidR="0004741C" w:rsidRDefault="0004741C" w:rsidP="3DBEEEB7">
      <w:pPr>
        <w:jc w:val="center"/>
        <w:rPr>
          <w:rFonts w:ascii="Times New Roman" w:eastAsia="Times New Roman" w:hAnsi="Times New Roman" w:cs="Times New Roman"/>
          <w:color w:val="000000"/>
          <w:sz w:val="28"/>
          <w:szCs w:val="28"/>
          <w:lang w:eastAsia="es-MX"/>
        </w:rPr>
      </w:pPr>
    </w:p>
    <w:p w14:paraId="1F409F0A" w14:textId="0D21F882" w:rsidR="0004741C" w:rsidRDefault="0004741C" w:rsidP="3DBEEEB7">
      <w:pPr>
        <w:jc w:val="center"/>
        <w:rPr>
          <w:rFonts w:ascii="Times New Roman" w:eastAsia="Times New Roman" w:hAnsi="Times New Roman" w:cs="Times New Roman"/>
          <w:color w:val="000000"/>
          <w:sz w:val="28"/>
          <w:szCs w:val="28"/>
          <w:lang w:eastAsia="es-MX"/>
        </w:rPr>
      </w:pPr>
    </w:p>
    <w:p w14:paraId="32BAF0B6" w14:textId="48B14B3C" w:rsidR="0004741C" w:rsidRDefault="0004741C" w:rsidP="3DBEEEB7">
      <w:pPr>
        <w:jc w:val="center"/>
        <w:rPr>
          <w:rFonts w:ascii="Times New Roman" w:eastAsia="Times New Roman" w:hAnsi="Times New Roman" w:cs="Times New Roman"/>
          <w:color w:val="000000"/>
          <w:sz w:val="28"/>
          <w:szCs w:val="28"/>
          <w:lang w:eastAsia="es-MX"/>
        </w:rPr>
      </w:pPr>
    </w:p>
    <w:p w14:paraId="5B42769C" w14:textId="77777777" w:rsidR="0004741C" w:rsidRDefault="0004741C" w:rsidP="3DBEEEB7">
      <w:pPr>
        <w:jc w:val="center"/>
        <w:rPr>
          <w:rFonts w:ascii="Times New Roman" w:eastAsia="Times New Roman" w:hAnsi="Times New Roman" w:cs="Times New Roman"/>
          <w:color w:val="000000"/>
          <w:sz w:val="28"/>
          <w:szCs w:val="28"/>
          <w:lang w:eastAsia="es-MX"/>
        </w:rPr>
      </w:pPr>
    </w:p>
    <w:p w14:paraId="45385840" w14:textId="77777777" w:rsidR="00982C86" w:rsidRDefault="00982C86" w:rsidP="00982C86">
      <w:pPr>
        <w:jc w:val="center"/>
        <w:rPr>
          <w:rFonts w:ascii="Times New Roman" w:eastAsia="Times New Roman" w:hAnsi="Times New Roman" w:cs="Times New Roman"/>
          <w:color w:val="000000"/>
          <w:sz w:val="28"/>
          <w:szCs w:val="24"/>
          <w:lang w:eastAsia="es-MX"/>
        </w:rPr>
      </w:pPr>
    </w:p>
    <w:p w14:paraId="05EE878B" w14:textId="1A8983B8" w:rsidR="56B97A50" w:rsidRDefault="0014446C" w:rsidP="3DBEEEB7">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Domingo 23 de </w:t>
      </w:r>
      <w:proofErr w:type="gramStart"/>
      <w:r>
        <w:rPr>
          <w:rFonts w:ascii="Times New Roman" w:eastAsia="Times New Roman" w:hAnsi="Times New Roman" w:cs="Times New Roman"/>
          <w:color w:val="000000" w:themeColor="text1"/>
          <w:sz w:val="28"/>
          <w:szCs w:val="28"/>
          <w:lang w:eastAsia="es-MX"/>
        </w:rPr>
        <w:t>Mayo</w:t>
      </w:r>
      <w:proofErr w:type="gramEnd"/>
      <w:r>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del 2021                                                Saltillo Coahui</w:t>
      </w:r>
      <w:r w:rsidR="30A68A6B" w:rsidRPr="3DBEEEB7">
        <w:rPr>
          <w:rFonts w:ascii="Times New Roman" w:eastAsia="Times New Roman" w:hAnsi="Times New Roman" w:cs="Times New Roman"/>
          <w:color w:val="000000" w:themeColor="text1"/>
          <w:sz w:val="28"/>
          <w:szCs w:val="28"/>
          <w:lang w:eastAsia="es-MX"/>
        </w:rPr>
        <w:t>la</w:t>
      </w:r>
    </w:p>
    <w:p w14:paraId="71C3D7CD" w14:textId="77777777" w:rsidR="00AD7FDD" w:rsidRDefault="00AD7FDD" w:rsidP="00AD7FDD">
      <w:pPr>
        <w:spacing w:line="360" w:lineRule="auto"/>
        <w:jc w:val="both"/>
        <w:rPr>
          <w:rFonts w:ascii="Times New Roman" w:hAnsi="Times New Roman" w:cs="Times New Roman"/>
          <w:color w:val="000000"/>
          <w:sz w:val="24"/>
          <w:shd w:val="clear" w:color="auto" w:fill="FFFFFF"/>
        </w:rPr>
      </w:pPr>
      <w:r w:rsidRPr="00AD7FDD">
        <w:rPr>
          <w:rFonts w:ascii="Times New Roman" w:hAnsi="Times New Roman" w:cs="Times New Roman"/>
          <w:color w:val="000000"/>
          <w:sz w:val="24"/>
          <w:shd w:val="clear" w:color="auto" w:fill="FFFFFF"/>
        </w:rPr>
        <w:lastRenderedPageBreak/>
        <w:t>La sociedad contemporánea enfrenta a sus actores al desafío de participar a lo largo de su vida en proyectos de desarrollo, de reestructuración o de innovación no sólo en las esferas directamente vinculadas con su formación académica o su profesión, sino también fuera del trabajo y la escuela, en el campo de la cultura, la política o el deporte. En las instituciones educativas se plantea la necesidad de enseñar a los alumnos por lo menos desde el nivel medio a planear su «proyecto de vida y carrera», y aún antes, en la educación primaria, a colaborar en la realización de proyectos escolares, personales y comunitarios.</w:t>
      </w:r>
    </w:p>
    <w:p w14:paraId="3EF2DCFC" w14:textId="6021EA3C" w:rsidR="0014446C" w:rsidRDefault="00AD7FDD" w:rsidP="00AD7FDD">
      <w:pPr>
        <w:spacing w:line="360" w:lineRule="auto"/>
        <w:jc w:val="both"/>
        <w:rPr>
          <w:rFonts w:ascii="Times New Roman" w:hAnsi="Times New Roman" w:cs="Times New Roman"/>
          <w:color w:val="000000"/>
          <w:sz w:val="24"/>
          <w:shd w:val="clear" w:color="auto" w:fill="FFFFFF"/>
        </w:rPr>
      </w:pPr>
      <w:r w:rsidRPr="00AD7FDD">
        <w:rPr>
          <w:rFonts w:ascii="Times New Roman" w:hAnsi="Times New Roman" w:cs="Times New Roman"/>
          <w:color w:val="000000"/>
          <w:sz w:val="24"/>
          <w:shd w:val="clear" w:color="auto" w:fill="FFFFFF"/>
        </w:rPr>
        <w:t xml:space="preserve"> El aprendizaje por medio de proyectos es un aprendizaje experiencial, pues se aprende al hacer y al reflexionar sobre lo que se hace en contextos de prácticas situadas y auténticas. Diversos autores consideran el enfoque de proyectos uno de los más representativos de las perspectivas experiencial y situada, estas plantean el problema de la organización y secuencia de los contenidos de la enseñanza del currículo en términos de los saberes, habilidades o competencias que la persona debe lograr para afrontar los problemas, necesidades y asuntos relevantes que se le plantean en los entornos académicos y sociales donde se desenvuelve.</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t>Las experiencias educativas en las que participan los alumnos en forma de actividades propositivas y auténticas, organizadas por lo común en forma de proyectos, constituyen los elementos organizadores del currículo. Lo anterior implica que el diseño del currículo y la instrucción no descansa en el aprendizaje de información factual o de conceptos disciplinarios básicos, ni en la adquisición y ejercicio de habilidades discretas, en la medida en que estos aprendizajes no cobren sentido para el alumno ni relevancia para su formación y desenvolvimiento ulterior.</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t>El conocimiento más valioso es el social. Un enfoque de aprendizaje experiencial, interdisciplinario, centrado en proyectos, permite a los estudiantes conseguir las habilidades, actitudes y conocimientos necesarios para participar en una sociedad democrática.</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t>Las metas centrales son el desarrollo y crecimiento del alumno, más que la enseñanza de hechos, de la estructura de las disciplinas o de las habilidades intelectuales, a excepción de que sean necesarias para los proyectos de los estudiantes. El enfoque de proyectos asume una perspectiva situada en la medida en que su fin es acercar a los estudiantes al comportamiento propio de los científicos sociales destacando el proceso mediante el cual adquieren poco a poco las competencias propias de éstos, de acuerdo con el nivel educativo y las posibilidades del alcance educativo.</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lastRenderedPageBreak/>
        <w:t>William H. Kilpatrick, discípulo de John Dewey, se dio a la tarea de configurar el método de proyectos dentro de la perspectiva de la educación progresista centrada en el niño. Para este autor, a diferencia de otros que hablan de la enseñanza mediante proyectos pero los restringen al valor del aprendizaje disciplinario que propician, el tipo de proyectos propositivos que vale la pena considerar en la enseñanza deben ser proyectos apropiados o valiosos con trascendencia no sólo en la adquisición de saberes específicos, sino para la vida en una sociedad democrática.</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t>Para ambos autores el tema de la educación moral está presente en la enseñanza experiencial mediante proyectos, pues se plantea la posibilidad de la construcción del carácter moral de las personas en este «régimen de actividades propositivas» que se realizan de manera colaborativa, en contraposición a la enseñanza tradicional que confina al alumno a trabajar en su pupitre de manera solitaria y donde se desarrollan el individualismo egoísta y la competencia destructiva entre compañeros.</w:t>
      </w:r>
      <w:r w:rsidRPr="00AD7FDD">
        <w:rPr>
          <w:rFonts w:ascii="Times New Roman" w:hAnsi="Times New Roman" w:cs="Times New Roman"/>
          <w:color w:val="000000"/>
          <w:sz w:val="24"/>
        </w:rPr>
        <w:br/>
      </w:r>
      <w:r w:rsidRPr="00AD7FDD">
        <w:rPr>
          <w:rFonts w:ascii="Times New Roman" w:hAnsi="Times New Roman" w:cs="Times New Roman"/>
          <w:color w:val="000000"/>
          <w:sz w:val="24"/>
          <w:shd w:val="clear" w:color="auto" w:fill="FFFFFF"/>
        </w:rPr>
        <w:t>La enseñanza mediante proyectos así planteada implica ir más allá del ejercicio de una técnica docente; requiere un cambio de actitud y de forma de trabajo en los actores de la educación, no sólo de profesores y alumnos, sino directamente de padres y directivos.</w:t>
      </w:r>
    </w:p>
    <w:p w14:paraId="3A597933" w14:textId="77777777" w:rsidR="00D42B84" w:rsidRPr="00D42B84" w:rsidRDefault="00D42B84" w:rsidP="00AD7FDD">
      <w:pPr>
        <w:spacing w:line="360" w:lineRule="auto"/>
        <w:jc w:val="both"/>
        <w:rPr>
          <w:rFonts w:ascii="Times New Roman" w:hAnsi="Times New Roman" w:cs="Times New Roman"/>
          <w:b/>
          <w:sz w:val="24"/>
        </w:rPr>
      </w:pPr>
      <w:r w:rsidRPr="00D42B84">
        <w:rPr>
          <w:rFonts w:ascii="Times New Roman" w:hAnsi="Times New Roman" w:cs="Times New Roman"/>
          <w:b/>
          <w:sz w:val="24"/>
        </w:rPr>
        <w:t xml:space="preserve">Comentario </w:t>
      </w:r>
    </w:p>
    <w:p w14:paraId="1023DA2A" w14:textId="21043B09" w:rsidR="00D76B70" w:rsidRPr="00D76B70" w:rsidRDefault="00D76B70" w:rsidP="00AD7FDD">
      <w:pPr>
        <w:spacing w:line="360" w:lineRule="auto"/>
        <w:jc w:val="both"/>
        <w:rPr>
          <w:rFonts w:ascii="Times New Roman" w:hAnsi="Times New Roman" w:cs="Times New Roman"/>
          <w:color w:val="000000"/>
          <w:sz w:val="28"/>
          <w:shd w:val="clear" w:color="auto" w:fill="FFFFFF"/>
        </w:rPr>
      </w:pPr>
      <w:r w:rsidRPr="00D76B70">
        <w:rPr>
          <w:rFonts w:ascii="Times New Roman" w:hAnsi="Times New Roman" w:cs="Times New Roman"/>
          <w:sz w:val="24"/>
        </w:rPr>
        <w:t xml:space="preserve">Un </w:t>
      </w:r>
      <w:r w:rsidRPr="00D76B70">
        <w:rPr>
          <w:rFonts w:ascii="Times New Roman" w:hAnsi="Times New Roman" w:cs="Times New Roman"/>
          <w:sz w:val="24"/>
        </w:rPr>
        <w:t xml:space="preserve">aprendizaje situado </w:t>
      </w:r>
      <w:r w:rsidRPr="00D76B70">
        <w:rPr>
          <w:rFonts w:ascii="Times New Roman" w:hAnsi="Times New Roman" w:cs="Times New Roman"/>
          <w:sz w:val="24"/>
        </w:rPr>
        <w:t xml:space="preserve">considero que es </w:t>
      </w:r>
      <w:r w:rsidRPr="00D76B70">
        <w:rPr>
          <w:rFonts w:ascii="Times New Roman" w:hAnsi="Times New Roman" w:cs="Times New Roman"/>
          <w:sz w:val="24"/>
        </w:rPr>
        <w:t>un aprendizaje activo y centrado en experiencias significativas y motivantes (auténticas)</w:t>
      </w:r>
      <w:r w:rsidRPr="00D76B70">
        <w:rPr>
          <w:rFonts w:ascii="Times New Roman" w:hAnsi="Times New Roman" w:cs="Times New Roman"/>
          <w:sz w:val="24"/>
        </w:rPr>
        <w:t xml:space="preserve"> para los alumnos</w:t>
      </w:r>
      <w:r w:rsidRPr="00D76B70">
        <w:rPr>
          <w:rFonts w:ascii="Times New Roman" w:hAnsi="Times New Roman" w:cs="Times New Roman"/>
          <w:sz w:val="24"/>
        </w:rPr>
        <w:t xml:space="preserve">, el fomento del pensamiento crítico y la toma de conciencia, involucra la participación en procesos </w:t>
      </w:r>
      <w:r w:rsidRPr="00D76B70">
        <w:rPr>
          <w:rFonts w:ascii="Times New Roman" w:hAnsi="Times New Roman" w:cs="Times New Roman"/>
          <w:sz w:val="24"/>
        </w:rPr>
        <w:t xml:space="preserve">de </w:t>
      </w:r>
      <w:r w:rsidRPr="00D76B70">
        <w:rPr>
          <w:rFonts w:ascii="Times New Roman" w:hAnsi="Times New Roman" w:cs="Times New Roman"/>
          <w:sz w:val="24"/>
        </w:rPr>
        <w:t xml:space="preserve">diálogo, la discusión grupal y la cooperación son centrales para </w:t>
      </w:r>
      <w:r w:rsidRPr="00D76B70">
        <w:rPr>
          <w:rFonts w:ascii="Times New Roman" w:hAnsi="Times New Roman" w:cs="Times New Roman"/>
          <w:sz w:val="24"/>
        </w:rPr>
        <w:t>lograr</w:t>
      </w:r>
      <w:r w:rsidRPr="00D76B70">
        <w:rPr>
          <w:rFonts w:ascii="Times New Roman" w:hAnsi="Times New Roman" w:cs="Times New Roman"/>
          <w:sz w:val="24"/>
        </w:rPr>
        <w:t xml:space="preserve"> experiencia</w:t>
      </w:r>
      <w:r w:rsidRPr="00D76B70">
        <w:rPr>
          <w:rFonts w:ascii="Times New Roman" w:hAnsi="Times New Roman" w:cs="Times New Roman"/>
          <w:sz w:val="24"/>
        </w:rPr>
        <w:t>s</w:t>
      </w:r>
      <w:r w:rsidRPr="00D76B70">
        <w:rPr>
          <w:rFonts w:ascii="Times New Roman" w:hAnsi="Times New Roman" w:cs="Times New Roman"/>
          <w:sz w:val="24"/>
        </w:rPr>
        <w:t xml:space="preserve"> de aprendizaje. </w:t>
      </w:r>
      <w:bookmarkStart w:id="0" w:name="_GoBack"/>
      <w:bookmarkEnd w:id="0"/>
    </w:p>
    <w:sectPr w:rsidR="00D76B70" w:rsidRPr="00D76B7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A62B" w14:textId="77777777" w:rsidR="00503894" w:rsidRDefault="00503894">
      <w:pPr>
        <w:spacing w:after="0" w:line="240" w:lineRule="auto"/>
      </w:pPr>
      <w:r>
        <w:separator/>
      </w:r>
    </w:p>
  </w:endnote>
  <w:endnote w:type="continuationSeparator" w:id="0">
    <w:p w14:paraId="77C4C3B0" w14:textId="77777777" w:rsidR="00503894" w:rsidRDefault="0050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4DB0" w14:textId="77777777" w:rsidR="00503894" w:rsidRDefault="00503894">
      <w:pPr>
        <w:spacing w:after="0" w:line="240" w:lineRule="auto"/>
      </w:pPr>
      <w:r>
        <w:separator/>
      </w:r>
    </w:p>
  </w:footnote>
  <w:footnote w:type="continuationSeparator" w:id="0">
    <w:p w14:paraId="318D00C6" w14:textId="77777777" w:rsidR="00503894" w:rsidRDefault="00503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7F34A3"/>
    <w:multiLevelType w:val="hybridMultilevel"/>
    <w:tmpl w:val="1EC01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E15F2C"/>
    <w:multiLevelType w:val="hybridMultilevel"/>
    <w:tmpl w:val="5B2C1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3"/>
  </w:num>
  <w:num w:numId="5">
    <w:abstractNumId w:val="9"/>
  </w:num>
  <w:num w:numId="6">
    <w:abstractNumId w:val="15"/>
  </w:num>
  <w:num w:numId="7">
    <w:abstractNumId w:val="0"/>
  </w:num>
  <w:num w:numId="8">
    <w:abstractNumId w:val="14"/>
  </w:num>
  <w:num w:numId="9">
    <w:abstractNumId w:val="10"/>
  </w:num>
  <w:num w:numId="10">
    <w:abstractNumId w:val="3"/>
  </w:num>
  <w:num w:numId="11">
    <w:abstractNumId w:val="1"/>
  </w:num>
  <w:num w:numId="12">
    <w:abstractNumId w:val="12"/>
  </w:num>
  <w:num w:numId="13">
    <w:abstractNumId w:val="5"/>
  </w:num>
  <w:num w:numId="14">
    <w:abstractNumId w:val="8"/>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4741C"/>
    <w:rsid w:val="0005362C"/>
    <w:rsid w:val="000815AE"/>
    <w:rsid w:val="000A6A46"/>
    <w:rsid w:val="000C4666"/>
    <w:rsid w:val="00102323"/>
    <w:rsid w:val="001145A9"/>
    <w:rsid w:val="0014446C"/>
    <w:rsid w:val="00172F64"/>
    <w:rsid w:val="001A674D"/>
    <w:rsid w:val="00311F50"/>
    <w:rsid w:val="0035560A"/>
    <w:rsid w:val="003872E2"/>
    <w:rsid w:val="003A64E4"/>
    <w:rsid w:val="00423783"/>
    <w:rsid w:val="00431C68"/>
    <w:rsid w:val="00490280"/>
    <w:rsid w:val="004B600B"/>
    <w:rsid w:val="004C7683"/>
    <w:rsid w:val="004E0E0C"/>
    <w:rsid w:val="00503894"/>
    <w:rsid w:val="00572FB5"/>
    <w:rsid w:val="006621EE"/>
    <w:rsid w:val="00717CCB"/>
    <w:rsid w:val="0073219D"/>
    <w:rsid w:val="0074770F"/>
    <w:rsid w:val="007939A3"/>
    <w:rsid w:val="00877E6D"/>
    <w:rsid w:val="008F657E"/>
    <w:rsid w:val="009550F8"/>
    <w:rsid w:val="00982C86"/>
    <w:rsid w:val="00A14F9F"/>
    <w:rsid w:val="00AD7FDD"/>
    <w:rsid w:val="00B86E39"/>
    <w:rsid w:val="00BD0178"/>
    <w:rsid w:val="00C536D5"/>
    <w:rsid w:val="00C61673"/>
    <w:rsid w:val="00D05497"/>
    <w:rsid w:val="00D42B84"/>
    <w:rsid w:val="00D65DE3"/>
    <w:rsid w:val="00D76B70"/>
    <w:rsid w:val="00DC31AF"/>
    <w:rsid w:val="00F460EF"/>
    <w:rsid w:val="00F779C2"/>
    <w:rsid w:val="00FC505C"/>
    <w:rsid w:val="00FD422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58334D9F-E8C2-4F49-84DF-1A20D67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paragraph" w:styleId="Ttulo2">
    <w:name w:val="heading 2"/>
    <w:basedOn w:val="Normal"/>
    <w:link w:val="Ttulo2Car"/>
    <w:uiPriority w:val="9"/>
    <w:qFormat/>
    <w:rsid w:val="000474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04741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102323"/>
    <w:rPr>
      <w:color w:val="0563C1" w:themeColor="hyperlink"/>
      <w:u w:val="single"/>
    </w:rPr>
  </w:style>
  <w:style w:type="character" w:styleId="Mencinsinresolver">
    <w:name w:val="Unresolved Mention"/>
    <w:basedOn w:val="Fuentedeprrafopredeter"/>
    <w:uiPriority w:val="99"/>
    <w:semiHidden/>
    <w:unhideWhenUsed/>
    <w:rsid w:val="0010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8503">
      <w:bodyDiv w:val="1"/>
      <w:marLeft w:val="0"/>
      <w:marRight w:val="0"/>
      <w:marTop w:val="0"/>
      <w:marBottom w:val="0"/>
      <w:divBdr>
        <w:top w:val="none" w:sz="0" w:space="0" w:color="auto"/>
        <w:left w:val="none" w:sz="0" w:space="0" w:color="auto"/>
        <w:bottom w:val="none" w:sz="0" w:space="0" w:color="auto"/>
        <w:right w:val="none" w:sz="0" w:space="0" w:color="auto"/>
      </w:divBdr>
    </w:div>
    <w:div w:id="722751930">
      <w:bodyDiv w:val="1"/>
      <w:marLeft w:val="0"/>
      <w:marRight w:val="0"/>
      <w:marTop w:val="0"/>
      <w:marBottom w:val="0"/>
      <w:divBdr>
        <w:top w:val="none" w:sz="0" w:space="0" w:color="auto"/>
        <w:left w:val="none" w:sz="0" w:space="0" w:color="auto"/>
        <w:bottom w:val="none" w:sz="0" w:space="0" w:color="auto"/>
        <w:right w:val="none" w:sz="0" w:space="0" w:color="auto"/>
      </w:divBdr>
    </w:div>
    <w:div w:id="880825138">
      <w:bodyDiv w:val="1"/>
      <w:marLeft w:val="0"/>
      <w:marRight w:val="0"/>
      <w:marTop w:val="0"/>
      <w:marBottom w:val="0"/>
      <w:divBdr>
        <w:top w:val="none" w:sz="0" w:space="0" w:color="auto"/>
        <w:left w:val="none" w:sz="0" w:space="0" w:color="auto"/>
        <w:bottom w:val="none" w:sz="0" w:space="0" w:color="auto"/>
        <w:right w:val="none" w:sz="0" w:space="0" w:color="auto"/>
      </w:divBdr>
    </w:div>
    <w:div w:id="1287153635">
      <w:bodyDiv w:val="1"/>
      <w:marLeft w:val="0"/>
      <w:marRight w:val="0"/>
      <w:marTop w:val="0"/>
      <w:marBottom w:val="0"/>
      <w:divBdr>
        <w:top w:val="none" w:sz="0" w:space="0" w:color="auto"/>
        <w:left w:val="none" w:sz="0" w:space="0" w:color="auto"/>
        <w:bottom w:val="none" w:sz="0" w:space="0" w:color="auto"/>
        <w:right w:val="none" w:sz="0" w:space="0" w:color="auto"/>
      </w:divBdr>
    </w:div>
    <w:div w:id="1482962499">
      <w:bodyDiv w:val="1"/>
      <w:marLeft w:val="0"/>
      <w:marRight w:val="0"/>
      <w:marTop w:val="0"/>
      <w:marBottom w:val="0"/>
      <w:divBdr>
        <w:top w:val="none" w:sz="0" w:space="0" w:color="auto"/>
        <w:left w:val="none" w:sz="0" w:space="0" w:color="auto"/>
        <w:bottom w:val="none" w:sz="0" w:space="0" w:color="auto"/>
        <w:right w:val="none" w:sz="0" w:space="0" w:color="auto"/>
      </w:divBdr>
    </w:div>
    <w:div w:id="1930850526">
      <w:bodyDiv w:val="1"/>
      <w:marLeft w:val="0"/>
      <w:marRight w:val="0"/>
      <w:marTop w:val="0"/>
      <w:marBottom w:val="0"/>
      <w:divBdr>
        <w:top w:val="none" w:sz="0" w:space="0" w:color="auto"/>
        <w:left w:val="none" w:sz="0" w:space="0" w:color="auto"/>
        <w:bottom w:val="none" w:sz="0" w:space="0" w:color="auto"/>
        <w:right w:val="none" w:sz="0" w:space="0" w:color="auto"/>
      </w:divBdr>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4CFB-FBE2-4B28-824F-A9FCE7AB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4</cp:revision>
  <dcterms:created xsi:type="dcterms:W3CDTF">2021-05-24T03:45:00Z</dcterms:created>
  <dcterms:modified xsi:type="dcterms:W3CDTF">2021-05-24T03:51:00Z</dcterms:modified>
</cp:coreProperties>
</file>