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21E" w:rsidRDefault="00CD221E"/>
    <w:p w:rsidR="006F447B" w:rsidRDefault="006F447B" w:rsidP="006F447B">
      <w:r w:rsidRPr="00010B55">
        <w:rPr>
          <w:noProof/>
        </w:rPr>
        <w:drawing>
          <wp:anchor distT="0" distB="0" distL="114300" distR="114300" simplePos="0" relativeHeight="251659264" behindDoc="1" locked="0" layoutInCell="1" allowOverlap="1" wp14:anchorId="7DC25182" wp14:editId="22BDDD0B">
            <wp:simplePos x="0" y="0"/>
            <wp:positionH relativeFrom="margin">
              <wp:align>center</wp:align>
            </wp:positionH>
            <wp:positionV relativeFrom="paragraph">
              <wp:posOffset>-630229</wp:posOffset>
            </wp:positionV>
            <wp:extent cx="2676429" cy="199016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676429" cy="1990165"/>
                    </a:xfrm>
                    <a:prstGeom prst="rect">
                      <a:avLst/>
                    </a:prstGeom>
                  </pic:spPr>
                </pic:pic>
              </a:graphicData>
            </a:graphic>
            <wp14:sizeRelH relativeFrom="margin">
              <wp14:pctWidth>0</wp14:pctWidth>
            </wp14:sizeRelH>
            <wp14:sizeRelV relativeFrom="margin">
              <wp14:pctHeight>0</wp14:pctHeight>
            </wp14:sizeRelV>
          </wp:anchor>
        </w:drawing>
      </w:r>
    </w:p>
    <w:p w:rsidR="006F447B" w:rsidRDefault="006F447B" w:rsidP="006F447B"/>
    <w:p w:rsidR="006F447B" w:rsidRDefault="006F447B" w:rsidP="006F447B"/>
    <w:p w:rsidR="006F447B" w:rsidRDefault="006F447B" w:rsidP="006F447B"/>
    <w:p w:rsidR="006F447B" w:rsidRDefault="006F447B" w:rsidP="006F447B"/>
    <w:p w:rsidR="006F447B" w:rsidRPr="003675D6" w:rsidRDefault="006F447B" w:rsidP="006F447B">
      <w:pPr>
        <w:rPr>
          <w:sz w:val="24"/>
          <w:szCs w:val="24"/>
        </w:rPr>
      </w:pPr>
    </w:p>
    <w:tbl>
      <w:tblPr>
        <w:tblpPr w:leftFromText="141" w:rightFromText="141" w:vertAnchor="text" w:horzAnchor="page" w:tblpX="2288" w:tblpY="-217"/>
        <w:tblW w:w="5000" w:type="pct"/>
        <w:tblCellSpacing w:w="0" w:type="dxa"/>
        <w:tblCellMar>
          <w:top w:w="30" w:type="dxa"/>
          <w:left w:w="30" w:type="dxa"/>
          <w:bottom w:w="30" w:type="dxa"/>
          <w:right w:w="30" w:type="dxa"/>
        </w:tblCellMar>
        <w:tblLook w:val="04A0" w:firstRow="1" w:lastRow="0" w:firstColumn="1" w:lastColumn="0" w:noHBand="0" w:noVBand="1"/>
      </w:tblPr>
      <w:tblGrid>
        <w:gridCol w:w="8504"/>
      </w:tblGrid>
      <w:tr w:rsidR="006F447B" w:rsidRPr="003675D6" w:rsidTr="00C8295A">
        <w:trPr>
          <w:tblCellSpacing w:w="0" w:type="dxa"/>
        </w:trPr>
        <w:tc>
          <w:tcPr>
            <w:tcW w:w="0" w:type="auto"/>
            <w:tcBorders>
              <w:top w:val="nil"/>
              <w:left w:val="nil"/>
              <w:bottom w:val="nil"/>
              <w:right w:val="nil"/>
            </w:tcBorders>
            <w:hideMark/>
          </w:tcPr>
          <w:p w:rsidR="006F447B" w:rsidRPr="003675D6" w:rsidRDefault="006F447B" w:rsidP="00C8295A">
            <w:pPr>
              <w:spacing w:before="75" w:after="75" w:line="240" w:lineRule="auto"/>
              <w:jc w:val="both"/>
              <w:outlineLvl w:val="1"/>
              <w:rPr>
                <w:rFonts w:ascii="Footlight MT Light" w:eastAsia="Times New Roman" w:hAnsi="Footlight MT Light" w:cs="Arial"/>
                <w:color w:val="000000"/>
                <w:sz w:val="36"/>
                <w:szCs w:val="36"/>
                <w:lang w:eastAsia="es-AR"/>
              </w:rPr>
            </w:pPr>
          </w:p>
        </w:tc>
      </w:tr>
    </w:tbl>
    <w:p w:rsidR="006F447B" w:rsidRPr="00CE1519" w:rsidRDefault="006F447B" w:rsidP="006F447B">
      <w:pPr>
        <w:jc w:val="center"/>
        <w:rPr>
          <w:color w:val="000000" w:themeColor="text1"/>
          <w:sz w:val="32"/>
          <w:szCs w:val="32"/>
        </w:rPr>
      </w:pPr>
      <w:r w:rsidRPr="00CE1519">
        <w:rPr>
          <w:rFonts w:ascii="Footlight MT Light" w:hAnsi="Footlight MT Light"/>
          <w:color w:val="000000" w:themeColor="text1"/>
          <w:sz w:val="48"/>
          <w:szCs w:val="48"/>
        </w:rPr>
        <w:t>Escuela Normal de Educación Preescolar.</w:t>
      </w:r>
    </w:p>
    <w:p w:rsidR="006F447B" w:rsidRPr="00CE1519" w:rsidRDefault="006F447B" w:rsidP="006F447B">
      <w:pPr>
        <w:jc w:val="center"/>
        <w:rPr>
          <w:rFonts w:ascii="Footlight MT Light" w:hAnsi="Footlight MT Light"/>
          <w:color w:val="000000" w:themeColor="text1"/>
          <w:sz w:val="36"/>
          <w:szCs w:val="36"/>
        </w:rPr>
      </w:pPr>
      <w:r w:rsidRPr="00CE1519">
        <w:rPr>
          <w:rFonts w:ascii="Footlight MT Light" w:hAnsi="Footlight MT Light"/>
          <w:color w:val="000000" w:themeColor="text1"/>
          <w:sz w:val="36"/>
          <w:szCs w:val="36"/>
        </w:rPr>
        <w:t>Lic. En Educación Preescolar.</w:t>
      </w:r>
    </w:p>
    <w:p w:rsidR="006F447B" w:rsidRPr="00CE1519" w:rsidRDefault="006F447B" w:rsidP="006F447B">
      <w:pPr>
        <w:jc w:val="center"/>
        <w:rPr>
          <w:rFonts w:ascii="Footlight MT Light" w:hAnsi="Footlight MT Light"/>
          <w:color w:val="000000" w:themeColor="text1"/>
          <w:sz w:val="36"/>
          <w:szCs w:val="36"/>
        </w:rPr>
      </w:pPr>
      <w:r w:rsidRPr="00CE1519">
        <w:rPr>
          <w:rFonts w:ascii="Footlight MT Light" w:hAnsi="Footlight MT Light"/>
          <w:color w:val="000000" w:themeColor="text1"/>
          <w:sz w:val="36"/>
          <w:szCs w:val="36"/>
        </w:rPr>
        <w:t>CURSO: Estrategias para la exploración del mundo social.</w:t>
      </w:r>
    </w:p>
    <w:p w:rsidR="00CE1519" w:rsidRPr="00CE1519" w:rsidRDefault="00CE1519" w:rsidP="00CE1519">
      <w:pPr>
        <w:jc w:val="center"/>
        <w:rPr>
          <w:rFonts w:ascii="Footlight MT Light" w:hAnsi="Footlight MT Light"/>
          <w:color w:val="000000" w:themeColor="text1"/>
          <w:sz w:val="36"/>
          <w:szCs w:val="36"/>
        </w:rPr>
      </w:pPr>
      <w:r w:rsidRPr="00CE1519">
        <w:rPr>
          <w:rFonts w:ascii="Footlight MT Light" w:hAnsi="Footlight MT Light"/>
          <w:color w:val="000000" w:themeColor="text1"/>
          <w:sz w:val="36"/>
          <w:szCs w:val="36"/>
        </w:rPr>
        <w:t>Las familias ante el internet.</w:t>
      </w:r>
    </w:p>
    <w:p w:rsidR="00CE1519" w:rsidRPr="00CE1519" w:rsidRDefault="00CE1519" w:rsidP="00CE1519">
      <w:pPr>
        <w:jc w:val="center"/>
        <w:rPr>
          <w:rFonts w:ascii="Footlight MT Light" w:hAnsi="Footlight MT Light"/>
          <w:color w:val="000000" w:themeColor="text1"/>
          <w:sz w:val="36"/>
          <w:szCs w:val="36"/>
        </w:rPr>
      </w:pPr>
      <w:r w:rsidRPr="00CE1519">
        <w:rPr>
          <w:rFonts w:ascii="Footlight MT Light" w:hAnsi="Footlight MT Light"/>
          <w:color w:val="000000" w:themeColor="text1"/>
          <w:sz w:val="36"/>
          <w:szCs w:val="36"/>
        </w:rPr>
        <w:t>Unidad 2:</w:t>
      </w:r>
      <w:r w:rsidRPr="00CE1519">
        <w:rPr>
          <w:rFonts w:ascii="Arial" w:eastAsia="Times New Roman" w:hAnsi="Arial" w:cs="Arial"/>
          <w:b/>
          <w:bCs/>
          <w:color w:val="000000" w:themeColor="text1"/>
          <w:kern w:val="36"/>
          <w:sz w:val="20"/>
          <w:szCs w:val="20"/>
          <w:lang w:eastAsia="es-AR"/>
        </w:rPr>
        <w:t xml:space="preserve"> </w:t>
      </w:r>
      <w:r w:rsidRPr="00CE1519">
        <w:rPr>
          <w:rFonts w:ascii="Footlight MT Light" w:hAnsi="Footlight MT Light"/>
          <w:color w:val="000000" w:themeColor="text1"/>
          <w:sz w:val="36"/>
          <w:szCs w:val="36"/>
        </w:rPr>
        <w:t>LA FAMILIA: EL PRIMER ESPACIO SOCIAL DE LAS NIÑAS Y NIÑOS DE PREESCOLAR.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249"/>
      </w:tblGrid>
      <w:tr w:rsidR="00CE1519" w:rsidRPr="00CE1519" w:rsidTr="00CE1519">
        <w:trPr>
          <w:tblCellSpacing w:w="15" w:type="dxa"/>
        </w:trPr>
        <w:tc>
          <w:tcPr>
            <w:tcW w:w="0" w:type="auto"/>
            <w:hideMark/>
          </w:tcPr>
          <w:p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drawing>
                <wp:inline distT="0" distB="0" distL="0" distR="0">
                  <wp:extent cx="111760" cy="111760"/>
                  <wp:effectExtent l="0" t="0" r="2540" b="2540"/>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p>
        </w:tc>
        <w:tc>
          <w:tcPr>
            <w:tcW w:w="0" w:type="auto"/>
            <w:hideMark/>
          </w:tcPr>
          <w:p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t>Detecta los procesos de aprendizaje de sus alumnos para favorecer su desarrollo cognitivo y socioemocional.</w:t>
            </w:r>
          </w:p>
        </w:tc>
      </w:tr>
    </w:tbl>
    <w:p w:rsidR="00CE1519" w:rsidRPr="00CE1519" w:rsidRDefault="00CE1519" w:rsidP="00CE1519">
      <w:pPr>
        <w:jc w:val="center"/>
        <w:rPr>
          <w:rFonts w:ascii="Footlight MT Light" w:hAnsi="Footlight MT Light"/>
          <w:vanish/>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249"/>
      </w:tblGrid>
      <w:tr w:rsidR="00CE1519" w:rsidRPr="00CE1519" w:rsidTr="00CE1519">
        <w:trPr>
          <w:tblCellSpacing w:w="15" w:type="dxa"/>
        </w:trPr>
        <w:tc>
          <w:tcPr>
            <w:tcW w:w="0" w:type="auto"/>
            <w:hideMark/>
          </w:tcPr>
          <w:p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drawing>
                <wp:inline distT="0" distB="0" distL="0" distR="0">
                  <wp:extent cx="111760" cy="111760"/>
                  <wp:effectExtent l="0" t="0" r="2540" b="2540"/>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p>
        </w:tc>
        <w:tc>
          <w:tcPr>
            <w:tcW w:w="0" w:type="auto"/>
            <w:hideMark/>
          </w:tcPr>
          <w:p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t>Aplica el plan y programas de estudio para alcanzar los propósitos educativos y contribuir al pleno desenvolvimiento de las capacidades de sus alumnos.</w:t>
            </w:r>
          </w:p>
        </w:tc>
      </w:tr>
    </w:tbl>
    <w:p w:rsidR="00CE1519" w:rsidRPr="00CE1519" w:rsidRDefault="00CE1519" w:rsidP="00CE1519">
      <w:pPr>
        <w:jc w:val="center"/>
        <w:rPr>
          <w:rFonts w:ascii="Footlight MT Light" w:hAnsi="Footlight MT Light"/>
          <w:vanish/>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249"/>
      </w:tblGrid>
      <w:tr w:rsidR="00CE1519" w:rsidRPr="00CE1519" w:rsidTr="00CE1519">
        <w:trPr>
          <w:tblCellSpacing w:w="15" w:type="dxa"/>
        </w:trPr>
        <w:tc>
          <w:tcPr>
            <w:tcW w:w="0" w:type="auto"/>
            <w:hideMark/>
          </w:tcPr>
          <w:p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drawing>
                <wp:inline distT="0" distB="0" distL="0" distR="0">
                  <wp:extent cx="111760" cy="111760"/>
                  <wp:effectExtent l="0" t="0" r="2540" b="2540"/>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p>
        </w:tc>
        <w:tc>
          <w:tcPr>
            <w:tcW w:w="0" w:type="auto"/>
            <w:hideMark/>
          </w:tcPr>
          <w:p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CE1519" w:rsidRPr="00CE1519" w:rsidRDefault="00CE1519" w:rsidP="00CE1519">
      <w:pPr>
        <w:jc w:val="center"/>
        <w:rPr>
          <w:rFonts w:ascii="Footlight MT Light" w:hAnsi="Footlight MT Light"/>
          <w:vanish/>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249"/>
      </w:tblGrid>
      <w:tr w:rsidR="00CE1519" w:rsidRPr="00CE1519" w:rsidTr="00CE1519">
        <w:trPr>
          <w:tblCellSpacing w:w="15" w:type="dxa"/>
        </w:trPr>
        <w:tc>
          <w:tcPr>
            <w:tcW w:w="0" w:type="auto"/>
            <w:hideMark/>
          </w:tcPr>
          <w:p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drawing>
                <wp:inline distT="0" distB="0" distL="0" distR="0">
                  <wp:extent cx="111760" cy="111760"/>
                  <wp:effectExtent l="0" t="0" r="2540" b="2540"/>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p>
        </w:tc>
        <w:tc>
          <w:tcPr>
            <w:tcW w:w="0" w:type="auto"/>
            <w:hideMark/>
          </w:tcPr>
          <w:p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t>Emplea la evaluación para intervenir en los diferentes ámbitos y momentos de la tarea educativa para mejorar los aprendizajes de sus alumnos.</w:t>
            </w:r>
          </w:p>
        </w:tc>
      </w:tr>
    </w:tbl>
    <w:p w:rsidR="00CE1519" w:rsidRPr="00CE1519" w:rsidRDefault="00CE1519" w:rsidP="00CE1519">
      <w:pPr>
        <w:jc w:val="center"/>
        <w:rPr>
          <w:rFonts w:ascii="Footlight MT Light" w:hAnsi="Footlight MT Light"/>
          <w:vanish/>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249"/>
      </w:tblGrid>
      <w:tr w:rsidR="00CE1519" w:rsidRPr="00CE1519" w:rsidTr="00CE1519">
        <w:trPr>
          <w:tblCellSpacing w:w="15" w:type="dxa"/>
        </w:trPr>
        <w:tc>
          <w:tcPr>
            <w:tcW w:w="0" w:type="auto"/>
            <w:hideMark/>
          </w:tcPr>
          <w:p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drawing>
                <wp:inline distT="0" distB="0" distL="0" distR="0">
                  <wp:extent cx="111760" cy="111760"/>
                  <wp:effectExtent l="0" t="0" r="2540" b="254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p>
        </w:tc>
        <w:tc>
          <w:tcPr>
            <w:tcW w:w="0" w:type="auto"/>
            <w:hideMark/>
          </w:tcPr>
          <w:p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t>Integra recursos de la investigación educativa para enriquecer su práctica profesional, expresando su interés por el conocimiento, la ciencia y la mejora de la educación.</w:t>
            </w:r>
          </w:p>
        </w:tc>
      </w:tr>
    </w:tbl>
    <w:p w:rsidR="00CE1519" w:rsidRPr="00CE1519" w:rsidRDefault="00CE1519" w:rsidP="00CE1519">
      <w:pPr>
        <w:jc w:val="center"/>
        <w:rPr>
          <w:rFonts w:ascii="Footlight MT Light" w:hAnsi="Footlight MT Light"/>
          <w:vanish/>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249"/>
      </w:tblGrid>
      <w:tr w:rsidR="00CE1519" w:rsidRPr="00CE1519" w:rsidTr="00CE1519">
        <w:trPr>
          <w:tblCellSpacing w:w="15" w:type="dxa"/>
        </w:trPr>
        <w:tc>
          <w:tcPr>
            <w:tcW w:w="0" w:type="auto"/>
            <w:hideMark/>
          </w:tcPr>
          <w:p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drawing>
                <wp:inline distT="0" distB="0" distL="0" distR="0">
                  <wp:extent cx="111760" cy="111760"/>
                  <wp:effectExtent l="0" t="0" r="2540" b="2540"/>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p>
        </w:tc>
        <w:tc>
          <w:tcPr>
            <w:tcW w:w="0" w:type="auto"/>
            <w:hideMark/>
          </w:tcPr>
          <w:p w:rsidR="00CE1519" w:rsidRPr="00CE1519" w:rsidRDefault="00CE1519" w:rsidP="00CE1519">
            <w:pPr>
              <w:jc w:val="center"/>
              <w:rPr>
                <w:rFonts w:ascii="Footlight MT Light" w:hAnsi="Footlight MT Light"/>
                <w:color w:val="000000" w:themeColor="text1"/>
              </w:rPr>
            </w:pPr>
            <w:r w:rsidRPr="00CE1519">
              <w:rPr>
                <w:rFonts w:ascii="Footlight MT Light" w:hAnsi="Footlight MT Light"/>
                <w:color w:val="000000" w:themeColor="text1"/>
              </w:rPr>
              <w:t>Actúa de manera ética ante la diversidad de situaciones que se presentan en la práctica profesional.</w:t>
            </w:r>
          </w:p>
        </w:tc>
      </w:tr>
    </w:tbl>
    <w:p w:rsidR="00CE1519" w:rsidRPr="00CE1519" w:rsidRDefault="00CE1519" w:rsidP="00CE1519">
      <w:pPr>
        <w:jc w:val="center"/>
        <w:rPr>
          <w:rFonts w:ascii="Footlight MT Light" w:hAnsi="Footlight MT Light"/>
          <w:color w:val="000000" w:themeColor="text1"/>
          <w:sz w:val="56"/>
          <w:szCs w:val="56"/>
        </w:rPr>
      </w:pPr>
    </w:p>
    <w:p w:rsidR="006F447B" w:rsidRPr="00CE1519" w:rsidRDefault="006F447B" w:rsidP="00CE1519">
      <w:pPr>
        <w:jc w:val="center"/>
        <w:rPr>
          <w:rFonts w:ascii="Footlight MT Light" w:hAnsi="Footlight MT Light"/>
          <w:color w:val="000000" w:themeColor="text1"/>
          <w:sz w:val="32"/>
          <w:szCs w:val="32"/>
        </w:rPr>
      </w:pPr>
      <w:r w:rsidRPr="00CE1519">
        <w:rPr>
          <w:rFonts w:ascii="Footlight MT Light" w:hAnsi="Footlight MT Light"/>
          <w:color w:val="000000" w:themeColor="text1"/>
          <w:sz w:val="32"/>
          <w:szCs w:val="32"/>
        </w:rPr>
        <w:t>DOCENTE:</w:t>
      </w:r>
      <w:r w:rsidRPr="00CE1519">
        <w:rPr>
          <w:rFonts w:ascii="Verdana" w:hAnsi="Verdana"/>
          <w:color w:val="000000" w:themeColor="text1"/>
          <w:sz w:val="12"/>
          <w:szCs w:val="12"/>
        </w:rPr>
        <w:t xml:space="preserve"> </w:t>
      </w:r>
      <w:r w:rsidRPr="00CE1519">
        <w:rPr>
          <w:rFonts w:ascii="Footlight MT Light" w:hAnsi="Footlight MT Light"/>
          <w:color w:val="000000" w:themeColor="text1"/>
          <w:sz w:val="32"/>
          <w:szCs w:val="32"/>
        </w:rPr>
        <w:t>RAMIRO GARCIA ELIAS</w:t>
      </w:r>
    </w:p>
    <w:p w:rsidR="006F447B" w:rsidRPr="00CE1519" w:rsidRDefault="006F447B" w:rsidP="00CE1519">
      <w:pPr>
        <w:jc w:val="center"/>
        <w:rPr>
          <w:rFonts w:ascii="Footlight MT Light" w:hAnsi="Footlight MT Light"/>
          <w:color w:val="000000" w:themeColor="text1"/>
          <w:sz w:val="32"/>
          <w:szCs w:val="32"/>
        </w:rPr>
      </w:pPr>
      <w:r w:rsidRPr="00CE1519">
        <w:rPr>
          <w:rFonts w:ascii="Footlight MT Light" w:hAnsi="Footlight MT Light"/>
          <w:color w:val="000000" w:themeColor="text1"/>
          <w:sz w:val="32"/>
          <w:szCs w:val="32"/>
        </w:rPr>
        <w:t>ALUMNA: FATIMA CECILIA ALONSO ALVARADO. #2</w:t>
      </w:r>
    </w:p>
    <w:p w:rsidR="006F447B" w:rsidRPr="00CE1519" w:rsidRDefault="006F447B" w:rsidP="00CE1519">
      <w:pPr>
        <w:jc w:val="center"/>
        <w:rPr>
          <w:rFonts w:ascii="Footlight MT Light" w:hAnsi="Footlight MT Light"/>
          <w:color w:val="000000" w:themeColor="text1"/>
          <w:sz w:val="32"/>
          <w:szCs w:val="32"/>
        </w:rPr>
      </w:pPr>
      <w:r w:rsidRPr="00CE1519">
        <w:rPr>
          <w:rFonts w:ascii="Footlight MT Light" w:hAnsi="Footlight MT Light"/>
          <w:color w:val="000000" w:themeColor="text1"/>
          <w:sz w:val="32"/>
          <w:szCs w:val="32"/>
        </w:rPr>
        <w:t>2° A</w:t>
      </w:r>
    </w:p>
    <w:p w:rsidR="00CD221E" w:rsidRDefault="00CD221E"/>
    <w:p w:rsidR="00CD221E" w:rsidRDefault="00CE1519" w:rsidP="00CE1519">
      <w:pPr>
        <w:jc w:val="center"/>
        <w:rPr>
          <w:rFonts w:ascii="Avenir Next LT Pro" w:hAnsi="Avenir Next LT Pro"/>
          <w:b/>
          <w:bCs/>
          <w:sz w:val="32"/>
          <w:szCs w:val="32"/>
        </w:rPr>
      </w:pPr>
      <w:r w:rsidRPr="00CE1519">
        <w:rPr>
          <w:rFonts w:ascii="Footlight MT Light" w:hAnsi="Footlight MT Light"/>
          <w:b/>
          <w:bCs/>
          <w:sz w:val="56"/>
          <w:szCs w:val="56"/>
        </w:rPr>
        <w:t>Índice</w:t>
      </w:r>
      <w:r>
        <w:rPr>
          <w:rFonts w:ascii="Avenir Next LT Pro" w:hAnsi="Avenir Next LT Pro"/>
          <w:b/>
          <w:bCs/>
          <w:sz w:val="32"/>
          <w:szCs w:val="32"/>
        </w:rPr>
        <w:t>:</w:t>
      </w:r>
    </w:p>
    <w:p w:rsidR="00CE1519" w:rsidRPr="00CE1519" w:rsidRDefault="00CE1519" w:rsidP="00CE1519">
      <w:pPr>
        <w:jc w:val="center"/>
        <w:rPr>
          <w:rFonts w:ascii="Avenir Next LT Pro" w:hAnsi="Avenir Next LT Pro"/>
          <w:b/>
          <w:bCs/>
          <w:sz w:val="44"/>
          <w:szCs w:val="44"/>
        </w:rPr>
      </w:pPr>
    </w:p>
    <w:p w:rsidR="00CD221E" w:rsidRPr="00CE1519" w:rsidRDefault="00CD221E">
      <w:pPr>
        <w:rPr>
          <w:b/>
          <w:bCs/>
          <w:sz w:val="32"/>
          <w:szCs w:val="32"/>
        </w:rPr>
      </w:pPr>
    </w:p>
    <w:p w:rsidR="00CD221E" w:rsidRPr="00CE1519" w:rsidRDefault="00CD221E">
      <w:pPr>
        <w:rPr>
          <w:b/>
          <w:bCs/>
          <w:sz w:val="32"/>
          <w:szCs w:val="32"/>
        </w:rPr>
      </w:pPr>
    </w:p>
    <w:p w:rsidR="00CD221E" w:rsidRPr="00CE1519" w:rsidRDefault="00CE1519">
      <w:pPr>
        <w:rPr>
          <w:rFonts w:ascii="Footlight MT Light" w:hAnsi="Footlight MT Light"/>
          <w:b/>
          <w:bCs/>
          <w:sz w:val="44"/>
          <w:szCs w:val="44"/>
        </w:rPr>
      </w:pPr>
      <w:r w:rsidRPr="00CE1519">
        <w:rPr>
          <w:rFonts w:ascii="Footlight MT Light" w:hAnsi="Footlight MT Light"/>
          <w:b/>
          <w:bCs/>
          <w:sz w:val="44"/>
          <w:szCs w:val="44"/>
        </w:rPr>
        <w:t>Introducción</w:t>
      </w:r>
      <w:r>
        <w:rPr>
          <w:rFonts w:ascii="Footlight MT Light" w:hAnsi="Footlight MT Light"/>
          <w:b/>
          <w:bCs/>
          <w:sz w:val="44"/>
          <w:szCs w:val="44"/>
        </w:rPr>
        <w:t>……………………………3</w:t>
      </w:r>
    </w:p>
    <w:p w:rsidR="00CE1519" w:rsidRPr="00CE1519" w:rsidRDefault="00CE1519">
      <w:pPr>
        <w:rPr>
          <w:rFonts w:ascii="Footlight MT Light" w:hAnsi="Footlight MT Light"/>
          <w:b/>
          <w:bCs/>
          <w:sz w:val="44"/>
          <w:szCs w:val="44"/>
        </w:rPr>
      </w:pPr>
    </w:p>
    <w:p w:rsidR="00CE1519" w:rsidRPr="00CE1519" w:rsidRDefault="00CE1519">
      <w:pPr>
        <w:rPr>
          <w:rFonts w:ascii="Footlight MT Light" w:hAnsi="Footlight MT Light"/>
          <w:b/>
          <w:bCs/>
          <w:sz w:val="44"/>
          <w:szCs w:val="44"/>
        </w:rPr>
      </w:pPr>
    </w:p>
    <w:p w:rsidR="00CE1519" w:rsidRPr="00CE1519" w:rsidRDefault="00CE1519">
      <w:pPr>
        <w:rPr>
          <w:rFonts w:ascii="Footlight MT Light" w:hAnsi="Footlight MT Light"/>
          <w:b/>
          <w:bCs/>
          <w:sz w:val="44"/>
          <w:szCs w:val="44"/>
        </w:rPr>
      </w:pPr>
      <w:r w:rsidRPr="00CE1519">
        <w:rPr>
          <w:rFonts w:ascii="Footlight MT Light" w:hAnsi="Footlight MT Light"/>
          <w:b/>
          <w:bCs/>
          <w:sz w:val="44"/>
          <w:szCs w:val="44"/>
        </w:rPr>
        <w:t xml:space="preserve">Desarrollo </w:t>
      </w:r>
      <w:r>
        <w:rPr>
          <w:rFonts w:ascii="Footlight MT Light" w:hAnsi="Footlight MT Light"/>
          <w:b/>
          <w:bCs/>
          <w:sz w:val="44"/>
          <w:szCs w:val="44"/>
        </w:rPr>
        <w:t>……………………………..4</w:t>
      </w:r>
    </w:p>
    <w:p w:rsidR="00CE1519" w:rsidRPr="00CE1519" w:rsidRDefault="00CE1519">
      <w:pPr>
        <w:rPr>
          <w:rFonts w:ascii="Footlight MT Light" w:hAnsi="Footlight MT Light"/>
          <w:b/>
          <w:bCs/>
          <w:sz w:val="44"/>
          <w:szCs w:val="44"/>
        </w:rPr>
      </w:pPr>
    </w:p>
    <w:p w:rsidR="00CE1519" w:rsidRPr="00CE1519" w:rsidRDefault="00CE1519">
      <w:pPr>
        <w:rPr>
          <w:rFonts w:ascii="Footlight MT Light" w:hAnsi="Footlight MT Light"/>
          <w:b/>
          <w:bCs/>
          <w:sz w:val="44"/>
          <w:szCs w:val="44"/>
        </w:rPr>
      </w:pPr>
    </w:p>
    <w:p w:rsidR="00CE1519" w:rsidRPr="00CE1519" w:rsidRDefault="00CE1519">
      <w:pPr>
        <w:rPr>
          <w:rFonts w:ascii="Footlight MT Light" w:hAnsi="Footlight MT Light"/>
          <w:b/>
          <w:bCs/>
          <w:sz w:val="44"/>
          <w:szCs w:val="44"/>
        </w:rPr>
      </w:pPr>
    </w:p>
    <w:p w:rsidR="00CE1519" w:rsidRPr="00CE1519" w:rsidRDefault="00CE1519">
      <w:pPr>
        <w:rPr>
          <w:rFonts w:ascii="Footlight MT Light" w:hAnsi="Footlight MT Light"/>
          <w:b/>
          <w:bCs/>
          <w:sz w:val="44"/>
          <w:szCs w:val="44"/>
        </w:rPr>
      </w:pPr>
      <w:r w:rsidRPr="00CE1519">
        <w:rPr>
          <w:rFonts w:ascii="Footlight MT Light" w:hAnsi="Footlight MT Light"/>
          <w:b/>
          <w:bCs/>
          <w:sz w:val="44"/>
          <w:szCs w:val="44"/>
        </w:rPr>
        <w:t>Conclusiones</w:t>
      </w:r>
      <w:r>
        <w:rPr>
          <w:rFonts w:ascii="Footlight MT Light" w:hAnsi="Footlight MT Light"/>
          <w:b/>
          <w:bCs/>
          <w:sz w:val="44"/>
          <w:szCs w:val="44"/>
        </w:rPr>
        <w:t>…………………………..7</w:t>
      </w:r>
      <w:r w:rsidRPr="00CE1519">
        <w:rPr>
          <w:rFonts w:ascii="Footlight MT Light" w:hAnsi="Footlight MT Light"/>
          <w:b/>
          <w:bCs/>
          <w:sz w:val="44"/>
          <w:szCs w:val="44"/>
        </w:rPr>
        <w:t xml:space="preserve"> </w:t>
      </w:r>
    </w:p>
    <w:p w:rsidR="00CE1519" w:rsidRPr="00CE1519" w:rsidRDefault="00CE1519">
      <w:pPr>
        <w:rPr>
          <w:rFonts w:ascii="Footlight MT Light" w:hAnsi="Footlight MT Light"/>
          <w:b/>
          <w:bCs/>
          <w:sz w:val="44"/>
          <w:szCs w:val="44"/>
        </w:rPr>
      </w:pPr>
    </w:p>
    <w:p w:rsidR="00CE1519" w:rsidRPr="00CE1519" w:rsidRDefault="00CE1519">
      <w:pPr>
        <w:rPr>
          <w:rFonts w:ascii="Footlight MT Light" w:hAnsi="Footlight MT Light"/>
          <w:b/>
          <w:bCs/>
          <w:sz w:val="44"/>
          <w:szCs w:val="44"/>
        </w:rPr>
      </w:pPr>
    </w:p>
    <w:p w:rsidR="00CE1519" w:rsidRPr="00CE1519" w:rsidRDefault="00CE1519">
      <w:pPr>
        <w:rPr>
          <w:rFonts w:ascii="Footlight MT Light" w:hAnsi="Footlight MT Light"/>
          <w:b/>
          <w:bCs/>
          <w:sz w:val="44"/>
          <w:szCs w:val="44"/>
        </w:rPr>
      </w:pPr>
    </w:p>
    <w:p w:rsidR="00CE1519" w:rsidRPr="00CE1519" w:rsidRDefault="00CE1519">
      <w:pPr>
        <w:rPr>
          <w:rFonts w:ascii="Footlight MT Light" w:hAnsi="Footlight MT Light"/>
          <w:b/>
          <w:bCs/>
          <w:sz w:val="44"/>
          <w:szCs w:val="44"/>
        </w:rPr>
      </w:pPr>
      <w:r w:rsidRPr="00CE1519">
        <w:rPr>
          <w:rFonts w:ascii="Footlight MT Light" w:hAnsi="Footlight MT Light"/>
          <w:b/>
          <w:bCs/>
          <w:sz w:val="44"/>
          <w:szCs w:val="44"/>
        </w:rPr>
        <w:t>Referencias</w:t>
      </w:r>
      <w:r>
        <w:rPr>
          <w:rFonts w:ascii="Footlight MT Light" w:hAnsi="Footlight MT Light"/>
          <w:b/>
          <w:bCs/>
          <w:sz w:val="44"/>
          <w:szCs w:val="44"/>
        </w:rPr>
        <w:t>……………………………8</w:t>
      </w:r>
      <w:bookmarkStart w:id="0" w:name="_GoBack"/>
      <w:bookmarkEnd w:id="0"/>
      <w:r w:rsidRPr="00CE1519">
        <w:rPr>
          <w:rFonts w:ascii="Footlight MT Light" w:hAnsi="Footlight MT Light"/>
          <w:b/>
          <w:bCs/>
          <w:sz w:val="44"/>
          <w:szCs w:val="44"/>
        </w:rPr>
        <w:t xml:space="preserve"> </w:t>
      </w:r>
    </w:p>
    <w:p w:rsidR="00CD221E" w:rsidRDefault="00CD221E"/>
    <w:p w:rsidR="00CD221E" w:rsidRDefault="00CD221E"/>
    <w:p w:rsidR="00CE1519" w:rsidRDefault="00CE1519">
      <w:pPr>
        <w:rPr>
          <w:rFonts w:ascii="Avenir Next LT Pro" w:hAnsi="Avenir Next LT Pro"/>
          <w:b/>
          <w:bCs/>
          <w:sz w:val="28"/>
          <w:szCs w:val="28"/>
        </w:rPr>
      </w:pPr>
    </w:p>
    <w:p w:rsidR="00CE1519" w:rsidRDefault="00CE1519">
      <w:pPr>
        <w:rPr>
          <w:rFonts w:ascii="Avenir Next LT Pro" w:hAnsi="Avenir Next LT Pro"/>
          <w:b/>
          <w:bCs/>
          <w:sz w:val="28"/>
          <w:szCs w:val="28"/>
        </w:rPr>
      </w:pPr>
    </w:p>
    <w:p w:rsidR="00CE1519" w:rsidRDefault="00CE1519">
      <w:pPr>
        <w:rPr>
          <w:rFonts w:ascii="Avenir Next LT Pro" w:hAnsi="Avenir Next LT Pro"/>
          <w:b/>
          <w:bCs/>
          <w:sz w:val="28"/>
          <w:szCs w:val="28"/>
        </w:rPr>
      </w:pPr>
    </w:p>
    <w:p w:rsidR="00CE1519" w:rsidRDefault="00CE1519">
      <w:pPr>
        <w:rPr>
          <w:rFonts w:ascii="Avenir Next LT Pro" w:hAnsi="Avenir Next LT Pro"/>
          <w:b/>
          <w:bCs/>
          <w:sz w:val="28"/>
          <w:szCs w:val="28"/>
        </w:rPr>
      </w:pPr>
    </w:p>
    <w:p w:rsidR="00CD221E" w:rsidRDefault="00CD221E">
      <w:pPr>
        <w:rPr>
          <w:rFonts w:ascii="Avenir Next LT Pro" w:hAnsi="Avenir Next LT Pro"/>
          <w:b/>
          <w:bCs/>
          <w:sz w:val="28"/>
          <w:szCs w:val="28"/>
        </w:rPr>
      </w:pPr>
      <w:r>
        <w:rPr>
          <w:rFonts w:ascii="Avenir Next LT Pro" w:hAnsi="Avenir Next LT Pro"/>
          <w:b/>
          <w:bCs/>
          <w:sz w:val="28"/>
          <w:szCs w:val="28"/>
        </w:rPr>
        <w:lastRenderedPageBreak/>
        <w:t>INTRODUCCION:</w:t>
      </w:r>
    </w:p>
    <w:p w:rsidR="00CD221E" w:rsidRPr="005B3471" w:rsidRDefault="00CD221E">
      <w:pPr>
        <w:rPr>
          <w:rFonts w:ascii="Avenir Next LT Pro" w:hAnsi="Avenir Next LT Pro"/>
          <w:sz w:val="28"/>
          <w:szCs w:val="28"/>
        </w:rPr>
      </w:pPr>
      <w:r w:rsidRPr="005B3471">
        <w:rPr>
          <w:rFonts w:ascii="Avenir Next LT Pro" w:hAnsi="Avenir Next LT Pro"/>
          <w:sz w:val="28"/>
          <w:szCs w:val="28"/>
        </w:rPr>
        <w:t xml:space="preserve">Actualmente, la sociedad se encuentra inmersa en la cultura digital, siendo </w:t>
      </w:r>
      <w:r w:rsidR="005B3471" w:rsidRPr="005B3471">
        <w:rPr>
          <w:rFonts w:ascii="Avenir Next LT Pro" w:hAnsi="Avenir Next LT Pro"/>
          <w:sz w:val="28"/>
          <w:szCs w:val="28"/>
        </w:rPr>
        <w:t>internet</w:t>
      </w:r>
      <w:r w:rsidRPr="005B3471">
        <w:rPr>
          <w:rFonts w:ascii="Avenir Next LT Pro" w:hAnsi="Avenir Next LT Pro"/>
          <w:sz w:val="28"/>
          <w:szCs w:val="28"/>
        </w:rPr>
        <w:t xml:space="preserve"> uno de los elementos mas importantes y de </w:t>
      </w:r>
      <w:r w:rsidR="005B3471" w:rsidRPr="005B3471">
        <w:rPr>
          <w:rFonts w:ascii="Avenir Next LT Pro" w:hAnsi="Avenir Next LT Pro"/>
          <w:sz w:val="28"/>
          <w:szCs w:val="28"/>
        </w:rPr>
        <w:t>mayor</w:t>
      </w:r>
      <w:r w:rsidRPr="005B3471">
        <w:rPr>
          <w:rFonts w:ascii="Avenir Next LT Pro" w:hAnsi="Avenir Next LT Pro"/>
          <w:sz w:val="28"/>
          <w:szCs w:val="28"/>
        </w:rPr>
        <w:t xml:space="preserve"> relevancia para muchos. Esta herramienta se ha ido incorporando poco a poco en la vida diaria de las personas </w:t>
      </w:r>
      <w:r w:rsidR="005B3471" w:rsidRPr="005B3471">
        <w:rPr>
          <w:rFonts w:ascii="Avenir Next LT Pro" w:hAnsi="Avenir Next LT Pro"/>
          <w:sz w:val="28"/>
          <w:szCs w:val="28"/>
        </w:rPr>
        <w:t>gracias</w:t>
      </w:r>
      <w:r w:rsidRPr="005B3471">
        <w:rPr>
          <w:rFonts w:ascii="Avenir Next LT Pro" w:hAnsi="Avenir Next LT Pro"/>
          <w:sz w:val="28"/>
          <w:szCs w:val="28"/>
        </w:rPr>
        <w:t xml:space="preserve"> a las </w:t>
      </w:r>
      <w:r w:rsidR="005B3471" w:rsidRPr="005B3471">
        <w:rPr>
          <w:rFonts w:ascii="Avenir Next LT Pro" w:hAnsi="Avenir Next LT Pro"/>
          <w:sz w:val="28"/>
          <w:szCs w:val="28"/>
        </w:rPr>
        <w:t>múltiples</w:t>
      </w:r>
      <w:r w:rsidRPr="005B3471">
        <w:rPr>
          <w:rFonts w:ascii="Avenir Next LT Pro" w:hAnsi="Avenir Next LT Pro"/>
          <w:sz w:val="28"/>
          <w:szCs w:val="28"/>
        </w:rPr>
        <w:t xml:space="preserve"> utilidades que ofrece en los hogares cada vez “se hace necesario” tenerla en casa. La familia como </w:t>
      </w:r>
      <w:r w:rsidR="005B3471" w:rsidRPr="005B3471">
        <w:rPr>
          <w:rFonts w:ascii="Avenir Next LT Pro" w:hAnsi="Avenir Next LT Pro"/>
          <w:sz w:val="28"/>
          <w:szCs w:val="28"/>
        </w:rPr>
        <w:t>usuario</w:t>
      </w:r>
      <w:r w:rsidRPr="005B3471">
        <w:rPr>
          <w:rFonts w:ascii="Avenir Next LT Pro" w:hAnsi="Avenir Next LT Pro"/>
          <w:sz w:val="28"/>
          <w:szCs w:val="28"/>
        </w:rPr>
        <w:t xml:space="preserve"> de esta tecnología se convierte en un agente activo en el posicionamiento del mismo en la cultura, internet a su vez en esta relación interviene en el desarrollo de la vida familiar, modificando </w:t>
      </w:r>
      <w:r w:rsidR="005B3471" w:rsidRPr="005B3471">
        <w:rPr>
          <w:rFonts w:ascii="Avenir Next LT Pro" w:hAnsi="Avenir Next LT Pro"/>
          <w:sz w:val="28"/>
          <w:szCs w:val="28"/>
        </w:rPr>
        <w:t>hábitos</w:t>
      </w:r>
      <w:r w:rsidRPr="005B3471">
        <w:rPr>
          <w:rFonts w:ascii="Avenir Next LT Pro" w:hAnsi="Avenir Next LT Pro"/>
          <w:sz w:val="28"/>
          <w:szCs w:val="28"/>
        </w:rPr>
        <w:t xml:space="preserve"> y costumbres de los miembros que la componen. </w:t>
      </w:r>
    </w:p>
    <w:p w:rsidR="00CD221E" w:rsidRPr="005B3471" w:rsidRDefault="00CD221E">
      <w:pPr>
        <w:rPr>
          <w:rFonts w:ascii="Avenir Next LT Pro" w:hAnsi="Avenir Next LT Pro"/>
          <w:sz w:val="28"/>
          <w:szCs w:val="28"/>
        </w:rPr>
      </w:pPr>
      <w:r w:rsidRPr="005B3471">
        <w:rPr>
          <w:rFonts w:ascii="Avenir Next LT Pro" w:hAnsi="Avenir Next LT Pro"/>
          <w:sz w:val="28"/>
          <w:szCs w:val="28"/>
        </w:rPr>
        <w:t xml:space="preserve">El auge de las nuevas tecnologías </w:t>
      </w:r>
      <w:r w:rsidR="005B3471" w:rsidRPr="005B3471">
        <w:rPr>
          <w:rFonts w:ascii="Avenir Next LT Pro" w:hAnsi="Avenir Next LT Pro"/>
          <w:sz w:val="28"/>
          <w:szCs w:val="28"/>
        </w:rPr>
        <w:t>está</w:t>
      </w:r>
      <w:r w:rsidRPr="005B3471">
        <w:rPr>
          <w:rFonts w:ascii="Avenir Next LT Pro" w:hAnsi="Avenir Next LT Pro"/>
          <w:sz w:val="28"/>
          <w:szCs w:val="28"/>
        </w:rPr>
        <w:t xml:space="preserve"> modificando las dinámicas relacionales de las familias; la sociedad digital posibilita otras formas de contacto interpersonal en la población</w:t>
      </w:r>
      <w:r w:rsidR="005B3471" w:rsidRPr="005B3471">
        <w:rPr>
          <w:rFonts w:ascii="Avenir Next LT Pro" w:hAnsi="Avenir Next LT Pro"/>
          <w:sz w:val="28"/>
          <w:szCs w:val="28"/>
        </w:rPr>
        <w:t>, pero con mas fuerza de los infantes y adolescentes, incidiendo de esta manera en las relaciones padres e hijos. De estas tecnologías, internet se ha convertido en un objeto deseado y muy valorado por algunos, pero a la vez, temido y rechazado por otros.</w:t>
      </w:r>
    </w:p>
    <w:p w:rsidR="005B3471" w:rsidRDefault="00141A1B">
      <w:pPr>
        <w:rPr>
          <w:rFonts w:ascii="Avenir Next LT Pro" w:hAnsi="Avenir Next LT Pro"/>
          <w:sz w:val="28"/>
          <w:szCs w:val="28"/>
        </w:rPr>
      </w:pPr>
      <w:r>
        <w:rPr>
          <w:rFonts w:ascii="Avenir Next LT Pro" w:hAnsi="Avenir Next LT Pro"/>
          <w:sz w:val="28"/>
          <w:szCs w:val="28"/>
        </w:rPr>
        <w:t>La dinámica familiar es el tema que abordamos</w:t>
      </w:r>
      <w:r w:rsidR="00EA6895">
        <w:rPr>
          <w:rFonts w:ascii="Avenir Next LT Pro" w:hAnsi="Avenir Next LT Pro"/>
          <w:sz w:val="28"/>
          <w:szCs w:val="28"/>
        </w:rPr>
        <w:t xml:space="preserve">, dado que el uso de internet interviene en las relaciones familiares, presento la relación que los </w:t>
      </w:r>
      <w:r w:rsidR="00CE1519">
        <w:rPr>
          <w:rFonts w:ascii="Avenir Next LT Pro" w:hAnsi="Avenir Next LT Pro"/>
          <w:sz w:val="28"/>
          <w:szCs w:val="28"/>
        </w:rPr>
        <w:t>adolescentes</w:t>
      </w:r>
      <w:r w:rsidR="00EA6895">
        <w:rPr>
          <w:rFonts w:ascii="Avenir Next LT Pro" w:hAnsi="Avenir Next LT Pro"/>
          <w:sz w:val="28"/>
          <w:szCs w:val="28"/>
        </w:rPr>
        <w:t xml:space="preserve"> y los padres establecen con las nuevas tecnologías específicamente internet, su influencia, tanto positivo como negativo en sus vidas y por consiguiente en la dinámica relacional.</w:t>
      </w:r>
    </w:p>
    <w:p w:rsidR="001F7931" w:rsidRDefault="001F7931">
      <w:pPr>
        <w:rPr>
          <w:rFonts w:ascii="Avenir Next LT Pro" w:hAnsi="Avenir Next LT Pro"/>
          <w:sz w:val="28"/>
          <w:szCs w:val="28"/>
        </w:rPr>
      </w:pPr>
    </w:p>
    <w:p w:rsidR="001F7931" w:rsidRDefault="001F7931">
      <w:pPr>
        <w:rPr>
          <w:rFonts w:ascii="Avenir Next LT Pro" w:hAnsi="Avenir Next LT Pro"/>
          <w:sz w:val="28"/>
          <w:szCs w:val="28"/>
        </w:rPr>
      </w:pPr>
    </w:p>
    <w:p w:rsidR="001F7931" w:rsidRDefault="001F7931">
      <w:pPr>
        <w:rPr>
          <w:rFonts w:ascii="Avenir Next LT Pro" w:hAnsi="Avenir Next LT Pro"/>
          <w:sz w:val="28"/>
          <w:szCs w:val="28"/>
        </w:rPr>
      </w:pPr>
    </w:p>
    <w:p w:rsidR="001F7931" w:rsidRDefault="001F7931">
      <w:pPr>
        <w:rPr>
          <w:rFonts w:ascii="Avenir Next LT Pro" w:hAnsi="Avenir Next LT Pro"/>
          <w:sz w:val="28"/>
          <w:szCs w:val="28"/>
        </w:rPr>
      </w:pPr>
    </w:p>
    <w:p w:rsidR="001F7931" w:rsidRDefault="001F7931">
      <w:pPr>
        <w:rPr>
          <w:rFonts w:ascii="Avenir Next LT Pro" w:hAnsi="Avenir Next LT Pro"/>
          <w:sz w:val="28"/>
          <w:szCs w:val="28"/>
        </w:rPr>
      </w:pPr>
    </w:p>
    <w:p w:rsidR="001F7931" w:rsidRDefault="001F7931">
      <w:pPr>
        <w:rPr>
          <w:rFonts w:ascii="Avenir Next LT Pro" w:hAnsi="Avenir Next LT Pro"/>
          <w:sz w:val="28"/>
          <w:szCs w:val="28"/>
        </w:rPr>
      </w:pPr>
    </w:p>
    <w:p w:rsidR="001F7931" w:rsidRDefault="001F7931">
      <w:pPr>
        <w:rPr>
          <w:rFonts w:ascii="Avenir Next LT Pro" w:hAnsi="Avenir Next LT Pro"/>
          <w:sz w:val="28"/>
          <w:szCs w:val="28"/>
        </w:rPr>
      </w:pPr>
    </w:p>
    <w:p w:rsidR="00CE1519" w:rsidRPr="005B3471" w:rsidRDefault="00CE1519">
      <w:pPr>
        <w:rPr>
          <w:rFonts w:ascii="Avenir Next LT Pro" w:hAnsi="Avenir Next LT Pro"/>
          <w:sz w:val="28"/>
          <w:szCs w:val="28"/>
        </w:rPr>
      </w:pPr>
    </w:p>
    <w:p w:rsidR="005B3471" w:rsidRDefault="005B3471">
      <w:pPr>
        <w:rPr>
          <w:rFonts w:ascii="Avenir Next LT Pro" w:hAnsi="Avenir Next LT Pro"/>
          <w:b/>
          <w:bCs/>
          <w:sz w:val="28"/>
          <w:szCs w:val="28"/>
        </w:rPr>
      </w:pPr>
      <w:r w:rsidRPr="005B3471">
        <w:rPr>
          <w:rFonts w:ascii="Avenir Next LT Pro" w:hAnsi="Avenir Next LT Pro"/>
          <w:b/>
          <w:bCs/>
          <w:sz w:val="28"/>
          <w:szCs w:val="28"/>
        </w:rPr>
        <w:lastRenderedPageBreak/>
        <w:t>DESARROLLO:</w:t>
      </w:r>
    </w:p>
    <w:p w:rsidR="00EA6895" w:rsidRDefault="00EA6895">
      <w:pPr>
        <w:rPr>
          <w:rFonts w:ascii="Avenir Next LT Pro" w:hAnsi="Avenir Next LT Pro"/>
          <w:sz w:val="28"/>
          <w:szCs w:val="28"/>
        </w:rPr>
      </w:pPr>
      <w:r w:rsidRPr="00EA6895">
        <w:rPr>
          <w:rFonts w:ascii="Avenir Next LT Pro" w:hAnsi="Avenir Next LT Pro"/>
          <w:sz w:val="28"/>
          <w:szCs w:val="28"/>
        </w:rPr>
        <w:t>Es innegable que la sociedad actual está atravesando por distintos cambios a nivel tecnológico, económico y demográfico. Estos cambios traen consigo novedades e incertidumbres para las personas que hacen parte de esta, las cuales se ven obligadas a adaptarse a los mismos logrando modificaciones en sus estilos de vida y en sus formas de relacionarse con los otros y con su entorno.</w:t>
      </w:r>
    </w:p>
    <w:p w:rsidR="00EA6895" w:rsidRPr="00EA6895" w:rsidRDefault="00EA6895">
      <w:pPr>
        <w:rPr>
          <w:rFonts w:ascii="Avenir Next LT Pro" w:hAnsi="Avenir Next LT Pro"/>
          <w:sz w:val="28"/>
          <w:szCs w:val="28"/>
        </w:rPr>
      </w:pPr>
      <w:r w:rsidRPr="00EA6895">
        <w:rPr>
          <w:rFonts w:ascii="Avenir Next LT Pro" w:hAnsi="Avenir Next LT Pro"/>
          <w:sz w:val="28"/>
          <w:szCs w:val="28"/>
        </w:rPr>
        <w:t>La llamada sociedad de la información, término utilizado para denominar una etapa en la que el procesamiento, el flujo y el almacenamiento de información tiene un lugar importante, está logrando grandes cambios a nivel cultural, derivándose de esto transformaciones en la vida de las personas.</w:t>
      </w:r>
      <w:r w:rsidRPr="00EA6895">
        <w:t xml:space="preserve"> </w:t>
      </w:r>
      <w:r>
        <w:rPr>
          <w:rFonts w:ascii="Avenir Next LT Pro" w:hAnsi="Avenir Next LT Pro"/>
          <w:sz w:val="28"/>
          <w:szCs w:val="28"/>
        </w:rPr>
        <w:t>L</w:t>
      </w:r>
      <w:r w:rsidRPr="00EA6895">
        <w:rPr>
          <w:rFonts w:ascii="Avenir Next LT Pro" w:hAnsi="Avenir Next LT Pro"/>
          <w:sz w:val="28"/>
          <w:szCs w:val="28"/>
        </w:rPr>
        <w:t>a “sociedad informacional” está caracterizada por dar origen a un nuevo orden social y cultura a partir de los avances y confluencias de la informática y las telecomunicaciones las cuales afectan todos los ámbitos de la vida social. Al respecto, y a modo de ejemplo, Giddens, haciendo alusión a Castells, plantea cómo la identidad personal se convierte en algo bastante abierto: “Ya no tomamos nuestra identidad del pasado; tenemos que conformarla activamente en nuestras interacciones con los demás. Esto afecta directamente a la familia y también de un modo más general, a la estructura de las identidades masculina y femenina”</w:t>
      </w:r>
      <w:r>
        <w:rPr>
          <w:rFonts w:ascii="Avenir Next LT Pro" w:hAnsi="Avenir Next LT Pro"/>
          <w:sz w:val="28"/>
          <w:szCs w:val="28"/>
        </w:rPr>
        <w:t xml:space="preserve"> </w:t>
      </w:r>
      <w:r w:rsidRPr="00EA6895">
        <w:rPr>
          <w:rFonts w:ascii="Avenir Next LT Pro" w:hAnsi="Avenir Next LT Pro"/>
          <w:sz w:val="28"/>
          <w:szCs w:val="28"/>
        </w:rPr>
        <w:t>La familia ha sido permeada por estas tecnologías de la información y de la comunicación y, por consiguiente, estas pueden estar modificando hábitos y costumbres de los miembros que componen la unidad familiar. Al respecto Cabero afirma: “La familia y las funciones que desempeña se ha visto modificada en los últimos años como consecuencia de (...) la influencia que los medios de comunicación social están alcanzando como instituciones socializadoras”</w:t>
      </w:r>
    </w:p>
    <w:p w:rsidR="005B3471" w:rsidRDefault="001F7931">
      <w:pPr>
        <w:rPr>
          <w:rFonts w:ascii="Avenir Next LT Pro" w:hAnsi="Avenir Next LT Pro"/>
          <w:sz w:val="28"/>
          <w:szCs w:val="28"/>
        </w:rPr>
      </w:pPr>
      <w:r w:rsidRPr="001F7931">
        <w:rPr>
          <w:rFonts w:ascii="Avenir Next LT Pro" w:hAnsi="Avenir Next LT Pro"/>
          <w:sz w:val="28"/>
          <w:szCs w:val="28"/>
        </w:rPr>
        <w:t xml:space="preserve">Los medios de comunicación generan cambios en las personas de modo que pueden llegar a modificar conductas, estilos de vida y costumbres. Para Marín y García “la relación de la familia y los medios de comunicación es compleja, fundamentalmente por la diversidad de realidades que en ella se dan” (2003, p. 2), en el </w:t>
      </w:r>
      <w:r w:rsidRPr="001F7931">
        <w:rPr>
          <w:rFonts w:ascii="Avenir Next LT Pro" w:hAnsi="Avenir Next LT Pro"/>
          <w:sz w:val="28"/>
          <w:szCs w:val="28"/>
        </w:rPr>
        <w:lastRenderedPageBreak/>
        <w:t>mismo sentido, Verza y Wagner afirman que “La inserción de la tecnología en el día a día de las familias instauró nuevos patrones de comunicación entre padres e hijos” (2010, p. 61), lo cual complejiza las relaciones familiares.</w:t>
      </w:r>
    </w:p>
    <w:p w:rsidR="001F7931" w:rsidRDefault="001F7931">
      <w:pPr>
        <w:rPr>
          <w:rFonts w:ascii="Avenir Next LT Pro" w:hAnsi="Avenir Next LT Pro"/>
          <w:sz w:val="28"/>
          <w:szCs w:val="28"/>
        </w:rPr>
      </w:pPr>
      <w:r w:rsidRPr="001F7931">
        <w:rPr>
          <w:rFonts w:ascii="Avenir Next LT Pro" w:hAnsi="Avenir Next LT Pro"/>
          <w:sz w:val="28"/>
          <w:szCs w:val="28"/>
        </w:rPr>
        <w:t>Cada familia tiene costumbres, ideas y modos particulares de relación e interacción. La forma de afrontar las situaciones que viven tiene un modo distinto en cada una. Para Gallego cada familia desarrolla su propia perspectiva sobre cómo funciona en su vida particular</w:t>
      </w:r>
      <w:r>
        <w:rPr>
          <w:rFonts w:ascii="Avenir Next LT Pro" w:hAnsi="Avenir Next LT Pro"/>
          <w:sz w:val="28"/>
          <w:szCs w:val="28"/>
        </w:rPr>
        <w:t xml:space="preserve"> </w:t>
      </w:r>
      <w:r w:rsidRPr="001F7931">
        <w:rPr>
          <w:rFonts w:ascii="Avenir Next LT Pro" w:hAnsi="Avenir Next LT Pro"/>
          <w:sz w:val="28"/>
          <w:szCs w:val="28"/>
        </w:rPr>
        <w:t>El conjunto de relaciones que los integrantes de la familia establecen, cambian y se reconstruyen permanentemente. Hernández y Solano (2003) manifiestan que la relación familia e internet es una relación de luces y sombras, ya que puede generar grandes cambios negativos al interior de esta pero también puede traer grandes beneficios.</w:t>
      </w:r>
    </w:p>
    <w:p w:rsidR="001F7931" w:rsidRDefault="001F7931">
      <w:pPr>
        <w:rPr>
          <w:rFonts w:ascii="Avenir Next LT Pro" w:hAnsi="Avenir Next LT Pro"/>
          <w:sz w:val="28"/>
          <w:szCs w:val="28"/>
        </w:rPr>
      </w:pPr>
      <w:r w:rsidRPr="001F7931">
        <w:rPr>
          <w:rFonts w:ascii="Avenir Next LT Pro" w:hAnsi="Avenir Next LT Pro"/>
          <w:sz w:val="28"/>
          <w:szCs w:val="28"/>
        </w:rPr>
        <w:t>La adolescencia trae consigo diferentes “tareas” a nivel social, psíquico y biológico como por ejemplo la exploración de nuevas capacidades personales, consolidación de la sexualidad genital, la construcción de cosmovisiones en la búsqueda de autonomía, construcción de una identidad adulta, la valoración grupal y el posicionamiento social. Dentro de la fenomenología relacional del adolescente se encuentran los cambios en los vínculos familiares, que se manifiestan como un alejamiento del adolescente de los padres en búsqueda de una nueva autonomía e identidad; la vivencia grupal, que se articula también a la necesidad de una nueva identidad, seguridad y reconocimiento social; las relaciones de pares que adquieren un carácter distinto al de la infancia; y finalmente la sexualidad y nuevas elecciones afectivas.</w:t>
      </w:r>
    </w:p>
    <w:p w:rsidR="001F7931" w:rsidRDefault="006F447B">
      <w:pPr>
        <w:rPr>
          <w:rFonts w:ascii="Avenir Next LT Pro" w:hAnsi="Avenir Next LT Pro"/>
          <w:sz w:val="28"/>
          <w:szCs w:val="28"/>
        </w:rPr>
      </w:pPr>
      <w:r w:rsidRPr="006F447B">
        <w:rPr>
          <w:rFonts w:ascii="Avenir Next LT Pro" w:hAnsi="Avenir Next LT Pro"/>
          <w:sz w:val="28"/>
          <w:szCs w:val="28"/>
        </w:rPr>
        <w:t xml:space="preserve">Diversos autores se han interesado por estudiar la adolescencia desde categorías tales como la identidad (Labajos Alonso, J., 1994; Guitart, E., 2008), desarrollo afectivo y cognitivo (García Cabero, M., 1994; Lara Ortega, F., 1994), pertenencia a grupos (Rodríguez Gutiérrez, M., 1994), sin embargo, en la actualidad estas mismas categorías incluyen inevitablemente las tecnologías de la información y la comunicación, ello en consecuencia con lo planteado por Aguirre Baztán (1996) para quien los fenómenos de esta edad, como todos los fenómenos psicosociales, no pueden </w:t>
      </w:r>
      <w:r w:rsidRPr="006F447B">
        <w:rPr>
          <w:rFonts w:ascii="Avenir Next LT Pro" w:hAnsi="Avenir Next LT Pro"/>
          <w:sz w:val="28"/>
          <w:szCs w:val="28"/>
        </w:rPr>
        <w:lastRenderedPageBreak/>
        <w:t>entenderse al margen de su contexto cultural. Respecto de las interacciones familiares se ha planteado cómo a partir de la televisión primero y posteriormente con internet los adolescentes asumen una posición autónoma con respecto a sus padres, dándose un desplazamiento por parte de los medios hacia las figuras de autoridad. “Los adultos ven cómo los mensajes del medio adquieren mayor autoridad que los suyos” (Callejo Gallego, 2012, p. 20)</w:t>
      </w:r>
    </w:p>
    <w:p w:rsidR="006F447B" w:rsidRDefault="006F447B">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6F447B" w:rsidRDefault="006F447B">
      <w:pPr>
        <w:rPr>
          <w:rFonts w:ascii="Avenir Next LT Pro" w:hAnsi="Avenir Next LT Pro"/>
          <w:sz w:val="28"/>
          <w:szCs w:val="28"/>
        </w:rPr>
      </w:pPr>
      <w:r>
        <w:rPr>
          <w:rFonts w:ascii="Avenir Next LT Pro" w:hAnsi="Avenir Next LT Pro"/>
          <w:b/>
          <w:bCs/>
          <w:sz w:val="28"/>
          <w:szCs w:val="28"/>
        </w:rPr>
        <w:lastRenderedPageBreak/>
        <w:t xml:space="preserve">CONCLUSIÓN: </w:t>
      </w:r>
    </w:p>
    <w:p w:rsidR="006F447B" w:rsidRDefault="006F447B">
      <w:pPr>
        <w:rPr>
          <w:rFonts w:ascii="Avenir Next LT Pro" w:hAnsi="Avenir Next LT Pro"/>
          <w:sz w:val="28"/>
          <w:szCs w:val="28"/>
        </w:rPr>
      </w:pPr>
      <w:r w:rsidRPr="006F447B">
        <w:rPr>
          <w:rFonts w:ascii="Avenir Next LT Pro" w:hAnsi="Avenir Next LT Pro"/>
          <w:sz w:val="28"/>
          <w:szCs w:val="28"/>
        </w:rPr>
        <w:t>Si bien la televisión tuvo sus críticas, en un momento dado, no podemos compararla con lo que representa internet en la actualidad, desde dos puntos de vista: el primero, en tanto es una tecnología totalmente cambiante, con la constante aparición de aplicaciones y de plataformas, resulta difícil acceder a cuanto ella misma brinda; la segunda, relacionada con la anterior: el nivel de complejidad requiere a su vez un conocimiento para su acceso, de otro nivel, diferente al requerido para acceder a la televisión, en la cual solo había que encenderla y disfrutarla (se debe tener presente incluso cómo lo complejo del manejo de la televisión fue el control remoto), mientras que el mundo de internet es otro, cambian las reglas de juego, pues no basta con encender el computador para llegar a él. Hace más de diez años Marc Prensky (2001) estableció una diferencia entre los nativos y los inmigrantes digitales. Los primeros, aquellos que nacieron y crecieron utilizando la “lengua digital”, mientras que los segundos, personas que les había correspondido ir asumiendo la tecnología digital. En su momento dicha clasificación no era cuestionable, se podía entender como un mundo digital dividido en dos tipos de personas, según la edad. En el ámbito familiar esta distinción permitía entender diversas interacciones, e incluso explicar términos acuñados, como brecha digital (nativos: hijos; inmigrantes: padres); sin embargo, en la actualidad el mundo de los inmigrantes ya no corresponde en su totalidad a aquellos que se adaptaron a las tecnologías digitales, pues muchos de los nativos ahora son padres, y hacen un uso con gran habilidad de dichas tecnologías</w:t>
      </w:r>
      <w:r>
        <w:rPr>
          <w:rFonts w:ascii="Avenir Next LT Pro" w:hAnsi="Avenir Next LT Pro"/>
          <w:sz w:val="28"/>
          <w:szCs w:val="28"/>
        </w:rPr>
        <w:t>.</w:t>
      </w:r>
    </w:p>
    <w:p w:rsidR="006F447B" w:rsidRDefault="006F447B">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CE1519" w:rsidRDefault="00CE1519">
      <w:pPr>
        <w:rPr>
          <w:rFonts w:ascii="Avenir Next LT Pro" w:hAnsi="Avenir Next LT Pro"/>
          <w:sz w:val="28"/>
          <w:szCs w:val="28"/>
        </w:rPr>
      </w:pPr>
    </w:p>
    <w:p w:rsidR="006F447B" w:rsidRDefault="006F447B">
      <w:pPr>
        <w:rPr>
          <w:rFonts w:ascii="Avenir Next LT Pro" w:hAnsi="Avenir Next LT Pro"/>
          <w:b/>
          <w:bCs/>
          <w:sz w:val="28"/>
          <w:szCs w:val="28"/>
        </w:rPr>
      </w:pPr>
      <w:r>
        <w:rPr>
          <w:rFonts w:ascii="Avenir Next LT Pro" w:hAnsi="Avenir Next LT Pro"/>
          <w:b/>
          <w:bCs/>
          <w:sz w:val="28"/>
          <w:szCs w:val="28"/>
        </w:rPr>
        <w:lastRenderedPageBreak/>
        <w:t>REFERENCIAS:</w:t>
      </w:r>
    </w:p>
    <w:p w:rsidR="006F447B" w:rsidRDefault="006F447B">
      <w:r w:rsidRPr="006F447B">
        <w:rPr>
          <w:rFonts w:ascii="Avenir Next LT Pro" w:hAnsi="Avenir Next LT Pro"/>
          <w:sz w:val="24"/>
          <w:szCs w:val="24"/>
        </w:rPr>
        <w:t>Aguirre Baztan, Á. (1994). Psicología de la adolescencia. México: Alfaomega. Álvaro, J. L. (2003) Fundamentos sociales del comportamiento humano. Barcelona: UOC. Builes, M. &amp; Bedoya, M. (2008). La familia contemporánea: relatos de resiliencia y salud mental. Revista Colombiana de Psiquiatría, 3(37), 344-354. Cabero, J. (2002) Familia y medios de comunicación. Diálogo 233, 9-17. Recuperado el 8 de marzo de 2011 en http://tecnologiaedu.us.es/cuestionario/bibliovir/53.pdf Callejo Gallego, J. (2012). La observación de la adolescencia del sistema de comunicación. En J. Callejo Gallego, &amp; J. Gutiérrez Brito, Adolescencia entre pantallas. Identidades juveniles en el sistema de comunicación (págs. 17-35). Barcelona: Gedisa. Callejo Gallego, J. &amp; Gutiérrez Brito, J. (2012). Máquinas de comunicar, máquinas de producir la adolescencia. En J. Callejo Gallego &amp; J. Gutiérrez Brito, Adolescencia entre pantallas. Identidades</w:t>
      </w:r>
      <w:r w:rsidRPr="006F447B">
        <w:rPr>
          <w:sz w:val="24"/>
          <w:szCs w:val="24"/>
        </w:rPr>
        <w:t xml:space="preserve"> </w:t>
      </w:r>
      <w:r>
        <w:t>juveniles en el sistema de comunicación (págs. 109-137). Barcelona: Gedisa.</w:t>
      </w:r>
    </w:p>
    <w:p w:rsidR="006F447B" w:rsidRDefault="006F447B">
      <w:pPr>
        <w:rPr>
          <w:rFonts w:ascii="Avenir Next LT Pro" w:hAnsi="Avenir Next LT Pro"/>
          <w:sz w:val="28"/>
          <w:szCs w:val="28"/>
        </w:rPr>
      </w:pPr>
      <w:hyperlink r:id="rId6" w:history="1">
        <w:r w:rsidRPr="00E35132">
          <w:rPr>
            <w:rStyle w:val="Hipervnculo"/>
            <w:rFonts w:ascii="Avenir Next LT Pro" w:hAnsi="Avenir Next LT Pro"/>
            <w:sz w:val="28"/>
            <w:szCs w:val="28"/>
          </w:rPr>
          <w:t>https://www.redalyc.org/pdf/1942/194229980004.pdf</w:t>
        </w:r>
      </w:hyperlink>
    </w:p>
    <w:p w:rsidR="006F447B" w:rsidRPr="006F447B" w:rsidRDefault="006F447B">
      <w:pPr>
        <w:rPr>
          <w:rFonts w:ascii="Avenir Next LT Pro" w:hAnsi="Avenir Next LT Pro"/>
          <w:sz w:val="28"/>
          <w:szCs w:val="28"/>
        </w:rPr>
      </w:pPr>
    </w:p>
    <w:sectPr w:rsidR="006F447B" w:rsidRPr="006F447B" w:rsidSect="00CE1519">
      <w:pgSz w:w="11906" w:h="16838"/>
      <w:pgMar w:top="1417" w:right="1701" w:bottom="1417" w:left="1701"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ootlight MT Ligh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1E"/>
    <w:rsid w:val="00141A1B"/>
    <w:rsid w:val="001F7931"/>
    <w:rsid w:val="005B3471"/>
    <w:rsid w:val="006F447B"/>
    <w:rsid w:val="00AB5A4C"/>
    <w:rsid w:val="00CD221E"/>
    <w:rsid w:val="00CE1519"/>
    <w:rsid w:val="00EA68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AAC5"/>
  <w15:chartTrackingRefBased/>
  <w15:docId w15:val="{A41D5AD3-5D9A-4EC2-A757-C8F752E5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1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447B"/>
    <w:rPr>
      <w:color w:val="0563C1" w:themeColor="hyperlink"/>
      <w:u w:val="single"/>
    </w:rPr>
  </w:style>
  <w:style w:type="character" w:styleId="Mencinsinresolver">
    <w:name w:val="Unresolved Mention"/>
    <w:basedOn w:val="Fuentedeprrafopredeter"/>
    <w:uiPriority w:val="99"/>
    <w:semiHidden/>
    <w:unhideWhenUsed/>
    <w:rsid w:val="006F447B"/>
    <w:rPr>
      <w:color w:val="605E5C"/>
      <w:shd w:val="clear" w:color="auto" w:fill="E1DFDD"/>
    </w:rPr>
  </w:style>
  <w:style w:type="character" w:customStyle="1" w:styleId="Ttulo1Car">
    <w:name w:val="Título 1 Car"/>
    <w:basedOn w:val="Fuentedeprrafopredeter"/>
    <w:link w:val="Ttulo1"/>
    <w:uiPriority w:val="9"/>
    <w:rsid w:val="00CE15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998757">
      <w:bodyDiv w:val="1"/>
      <w:marLeft w:val="0"/>
      <w:marRight w:val="0"/>
      <w:marTop w:val="0"/>
      <w:marBottom w:val="0"/>
      <w:divBdr>
        <w:top w:val="none" w:sz="0" w:space="0" w:color="auto"/>
        <w:left w:val="none" w:sz="0" w:space="0" w:color="auto"/>
        <w:bottom w:val="none" w:sz="0" w:space="0" w:color="auto"/>
        <w:right w:val="none" w:sz="0" w:space="0" w:color="auto"/>
      </w:divBdr>
    </w:div>
    <w:div w:id="20280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dalyc.org/pdf/1942/194229980004.pdf"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1606</Words>
  <Characters>8837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ALONSO ALVARADO</dc:creator>
  <cp:keywords/>
  <dc:description/>
  <cp:lastModifiedBy>FATIMA ALONSO ALVARADO</cp:lastModifiedBy>
  <cp:revision>1</cp:revision>
  <dcterms:created xsi:type="dcterms:W3CDTF">2021-05-28T03:00:00Z</dcterms:created>
  <dcterms:modified xsi:type="dcterms:W3CDTF">2021-05-28T04:28:00Z</dcterms:modified>
</cp:coreProperties>
</file>