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8CD4" w14:textId="77777777" w:rsidR="00312132" w:rsidRPr="00A4320A" w:rsidRDefault="00312132" w:rsidP="003121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157B960F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419232E" wp14:editId="3367956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42975" cy="1259205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6" r="20165"/>
                    <a:stretch/>
                  </pic:blipFill>
                  <pic:spPr bwMode="auto"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874AC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E0BF4E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17DE7E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BF425F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2C61EBA3" w14:textId="0508F117" w:rsidR="00312132" w:rsidRPr="00DF23A0" w:rsidRDefault="00312132" w:rsidP="00312132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312132">
        <w:rPr>
          <w:rFonts w:ascii="Arial" w:eastAsia="Times New Roman" w:hAnsi="Arial" w:cs="Arial"/>
          <w:b/>
          <w:color w:val="000000"/>
          <w:sz w:val="24"/>
          <w:szCs w:val="24"/>
        </w:rPr>
        <w:t>Evidencia Unidad III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43999DBD" w14:textId="77777777" w:rsidR="00312132" w:rsidRDefault="00312132" w:rsidP="0031213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14:paraId="7745271C" w14:textId="77777777" w:rsidR="00312132" w:rsidRPr="00A4320A" w:rsidRDefault="00312132" w:rsidP="00312132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14:paraId="32FA5A01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14:paraId="495BA384" w14:textId="77777777" w:rsidR="00312132" w:rsidRDefault="00312132" w:rsidP="0031213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5B9CDFE9" w14:textId="77777777" w:rsidR="00312132" w:rsidRDefault="00312132" w:rsidP="00312132">
      <w:pPr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EC2278">
        <w:rPr>
          <w:rFonts w:ascii="Arial" w:hAnsi="Arial" w:cs="Arial"/>
          <w:b/>
          <w:sz w:val="20"/>
          <w:szCs w:val="24"/>
        </w:rPr>
        <w:t xml:space="preserve">Unidad de aprendizaje </w:t>
      </w:r>
      <w:r>
        <w:rPr>
          <w:rFonts w:ascii="Arial" w:hAnsi="Arial" w:cs="Arial"/>
          <w:b/>
          <w:sz w:val="20"/>
          <w:szCs w:val="24"/>
        </w:rPr>
        <w:t>III:</w:t>
      </w:r>
      <w:r w:rsidRPr="00EC2278">
        <w:rPr>
          <w:rFonts w:ascii="Arial" w:hAnsi="Arial" w:cs="Arial"/>
          <w:b/>
          <w:sz w:val="20"/>
          <w:szCs w:val="24"/>
        </w:rPr>
        <w:t xml:space="preserve"> La comunidad y la participación social de los niños y niñas de preescolar</w:t>
      </w:r>
      <w:r>
        <w:rPr>
          <w:rFonts w:ascii="Arial" w:hAnsi="Arial" w:cs="Arial"/>
          <w:b/>
          <w:sz w:val="20"/>
          <w:szCs w:val="24"/>
        </w:rPr>
        <w:t>.</w:t>
      </w:r>
    </w:p>
    <w:p w14:paraId="2C46C922" w14:textId="77777777" w:rsidR="00312132" w:rsidRPr="00EC2278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EC2278">
        <w:rPr>
          <w:rFonts w:ascii="Arial" w:hAnsi="Arial" w:cs="Arial"/>
          <w:bCs/>
          <w:sz w:val="20"/>
          <w:szCs w:val="24"/>
        </w:rPr>
        <w:t>Detecta los procesos de aprendizaje de sus alumnos para favorecer su desarrollo cognitivo y socioemocional.</w:t>
      </w:r>
    </w:p>
    <w:p w14:paraId="329EEEE0" w14:textId="77777777" w:rsidR="00312132" w:rsidRPr="009D308F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163ED2D5" w14:textId="77777777" w:rsidR="00312132" w:rsidRPr="009D308F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32AE57D" w14:textId="77777777" w:rsidR="00312132" w:rsidRPr="009D308F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Emplea la evaluación para intervenir en los diferentes ámbitos y momentos de la tarea educativa para mejorar los aprendizajes de sus alumnos.</w:t>
      </w:r>
    </w:p>
    <w:p w14:paraId="1FB2910D" w14:textId="77777777" w:rsidR="00312132" w:rsidRPr="009D308F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07372BF" w14:textId="77777777" w:rsidR="00312132" w:rsidRPr="009D308F" w:rsidRDefault="00312132" w:rsidP="0031213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9D308F">
        <w:rPr>
          <w:rFonts w:ascii="Arial" w:hAnsi="Arial" w:cs="Arial"/>
          <w:bCs/>
          <w:sz w:val="20"/>
          <w:szCs w:val="24"/>
        </w:rPr>
        <w:t>Actúa de manera ética ante la diversidad de situaciones que se presentan en la práctica profesional.</w:t>
      </w:r>
    </w:p>
    <w:p w14:paraId="3229EAAC" w14:textId="77777777" w:rsidR="00312132" w:rsidRDefault="00312132" w:rsidP="00312132">
      <w:pPr>
        <w:pStyle w:val="Prrafodelista"/>
        <w:tabs>
          <w:tab w:val="center" w:pos="4779"/>
          <w:tab w:val="right" w:pos="8838"/>
        </w:tabs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14:paraId="0805DDC2" w14:textId="7B341CAC" w:rsidR="00312132" w:rsidRDefault="00312132" w:rsidP="00312132">
      <w:pPr>
        <w:pStyle w:val="Prrafodelista"/>
        <w:tabs>
          <w:tab w:val="center" w:pos="4779"/>
          <w:tab w:val="right" w:pos="8838"/>
        </w:tabs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</w:t>
      </w:r>
      <w:r w:rsidR="004C1EBC">
        <w:rPr>
          <w:rFonts w:ascii="Arial" w:hAnsi="Arial" w:cs="Arial"/>
          <w:sz w:val="20"/>
          <w:szCs w:val="24"/>
        </w:rPr>
        <w:t>24</w:t>
      </w:r>
      <w:r>
        <w:rPr>
          <w:rFonts w:ascii="Arial" w:hAnsi="Arial" w:cs="Arial"/>
          <w:sz w:val="20"/>
          <w:szCs w:val="24"/>
        </w:rPr>
        <w:t xml:space="preserve"> de junio de 2021</w:t>
      </w:r>
    </w:p>
    <w:p w14:paraId="1E865C16" w14:textId="29C67C82" w:rsidR="00312132" w:rsidRDefault="00312132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sz w:val="24"/>
          <w:szCs w:val="32"/>
        </w:rPr>
      </w:pPr>
      <w:r w:rsidRPr="00312132">
        <w:rPr>
          <w:rFonts w:ascii="Arial" w:hAnsi="Arial" w:cs="Arial"/>
          <w:b/>
          <w:bCs/>
          <w:sz w:val="24"/>
          <w:szCs w:val="32"/>
        </w:rPr>
        <w:lastRenderedPageBreak/>
        <w:t>Nombre de la cápsula:</w:t>
      </w:r>
      <w:r w:rsidRPr="00312132">
        <w:rPr>
          <w:rFonts w:ascii="Arial" w:hAnsi="Arial" w:cs="Arial"/>
          <w:sz w:val="24"/>
          <w:szCs w:val="32"/>
        </w:rPr>
        <w:t xml:space="preserve"> Supermercados vs.</w:t>
      </w:r>
      <w:r>
        <w:rPr>
          <w:rFonts w:ascii="Arial" w:hAnsi="Arial" w:cs="Arial"/>
          <w:sz w:val="24"/>
          <w:szCs w:val="32"/>
        </w:rPr>
        <w:t xml:space="preserve"> </w:t>
      </w:r>
      <w:r w:rsidRPr="00312132">
        <w:rPr>
          <w:rFonts w:ascii="Arial" w:hAnsi="Arial" w:cs="Arial"/>
          <w:sz w:val="24"/>
          <w:szCs w:val="32"/>
        </w:rPr>
        <w:t>Tienditas.</w:t>
      </w:r>
    </w:p>
    <w:p w14:paraId="5634CFA5" w14:textId="166CF84C" w:rsidR="00312132" w:rsidRDefault="00312132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sz w:val="24"/>
          <w:szCs w:val="32"/>
        </w:rPr>
      </w:pPr>
      <w:r w:rsidRPr="00312132">
        <w:rPr>
          <w:rFonts w:ascii="Arial" w:hAnsi="Arial" w:cs="Arial"/>
          <w:b/>
          <w:bCs/>
          <w:sz w:val="24"/>
          <w:szCs w:val="32"/>
        </w:rPr>
        <w:t>Campo de formación académica:</w:t>
      </w:r>
      <w:r>
        <w:rPr>
          <w:rFonts w:ascii="Arial" w:hAnsi="Arial" w:cs="Arial"/>
          <w:sz w:val="24"/>
          <w:szCs w:val="32"/>
        </w:rPr>
        <w:t xml:space="preserve"> Lenguaje y comunicación </w:t>
      </w:r>
    </w:p>
    <w:p w14:paraId="6D7E421D" w14:textId="5B1B9686" w:rsidR="00312132" w:rsidRPr="00312132" w:rsidRDefault="00312132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b/>
          <w:bCs/>
          <w:sz w:val="24"/>
          <w:szCs w:val="32"/>
        </w:rPr>
      </w:pPr>
      <w:r w:rsidRPr="00312132">
        <w:rPr>
          <w:rFonts w:ascii="Arial" w:hAnsi="Arial" w:cs="Arial"/>
          <w:b/>
          <w:bCs/>
          <w:sz w:val="24"/>
          <w:szCs w:val="32"/>
        </w:rPr>
        <w:t>Aprendizaje esperado: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r w:rsidRPr="0068375E">
        <w:rPr>
          <w:rFonts w:ascii="Arial" w:hAnsi="Arial" w:cs="Arial"/>
          <w:sz w:val="24"/>
          <w:szCs w:val="24"/>
        </w:rPr>
        <w:t>Interpreta instructivos, cartas, recados y señalamientos.</w:t>
      </w:r>
    </w:p>
    <w:p w14:paraId="5EC69C89" w14:textId="54A0B4E8" w:rsidR="00312132" w:rsidRDefault="00312132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sz w:val="24"/>
          <w:szCs w:val="32"/>
        </w:rPr>
      </w:pPr>
      <w:r w:rsidRPr="00312132">
        <w:rPr>
          <w:rFonts w:ascii="Arial" w:hAnsi="Arial" w:cs="Arial"/>
          <w:b/>
          <w:bCs/>
          <w:sz w:val="24"/>
          <w:szCs w:val="32"/>
        </w:rPr>
        <w:t>Descripción de la actividad: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r w:rsidRPr="00312132">
        <w:rPr>
          <w:rFonts w:ascii="Arial" w:hAnsi="Arial" w:cs="Arial"/>
          <w:sz w:val="24"/>
          <w:szCs w:val="32"/>
        </w:rPr>
        <w:t>El d</w:t>
      </w:r>
      <w:r>
        <w:rPr>
          <w:rFonts w:ascii="Arial" w:hAnsi="Arial" w:cs="Arial"/>
          <w:sz w:val="24"/>
          <w:szCs w:val="32"/>
        </w:rPr>
        <w:t xml:space="preserve">ía 23 de junio de 2021, se llevó a cabo una sesión vía Teams, en el grupo de primer grado de la sección “A” en el jardín de niños “Luis A. Beauregard” </w:t>
      </w:r>
      <w:r w:rsidRPr="00312132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en donde yo como practicante estaba aplicando una actividad referente a la tiendita, en donde los alumnos tenían que observar diferentes productos que se le presentan (leche, galletas, cereales, etc.) </w:t>
      </w:r>
      <w:r w:rsidR="00FB7896">
        <w:rPr>
          <w:rFonts w:ascii="Arial" w:hAnsi="Arial" w:cs="Arial"/>
          <w:sz w:val="24"/>
          <w:szCs w:val="32"/>
        </w:rPr>
        <w:t xml:space="preserve">y de esos iban a escoger 3, los cuales con ayuda de sus mamás o papás estos escribirían en su cuaderno con color o marcador amarillo lo que habían escogido (a manera de lista de supermercado) y después ellos lo repasarían con lápiz. Al final y con lo que se estaba manejando se hizo la pregunta a la educadora de dónde prefería ella comprar los productos, en un supermercado o en una tiendita, previo a su respuesta yo mencioné que prefería ir a los supermercados, y ella contestó que ella prefería las tienditas, de ahí se fueron haciendo preguntas a los alumnos y ellos fueron mencionando que preferían. </w:t>
      </w:r>
    </w:p>
    <w:p w14:paraId="344914A1" w14:textId="4E88906A" w:rsidR="00FB7896" w:rsidRDefault="00FB7896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sz w:val="24"/>
          <w:szCs w:val="32"/>
        </w:rPr>
      </w:pPr>
      <w:r w:rsidRPr="00FB7896">
        <w:rPr>
          <w:rFonts w:ascii="Arial" w:hAnsi="Arial" w:cs="Arial"/>
          <w:b/>
          <w:bCs/>
          <w:sz w:val="24"/>
          <w:szCs w:val="32"/>
        </w:rPr>
        <w:t>Conclusión: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La</w:t>
      </w:r>
      <w:r w:rsidRPr="00FB7896">
        <w:rPr>
          <w:rFonts w:ascii="Arial" w:hAnsi="Arial" w:cs="Arial"/>
          <w:sz w:val="24"/>
          <w:szCs w:val="32"/>
        </w:rPr>
        <w:t xml:space="preserve"> actividad aplicada fue la base para que los alumnos pudieran de manejar de buena manera </w:t>
      </w:r>
      <w:r>
        <w:rPr>
          <w:rFonts w:ascii="Arial" w:hAnsi="Arial" w:cs="Arial"/>
          <w:sz w:val="24"/>
          <w:szCs w:val="32"/>
        </w:rPr>
        <w:t xml:space="preserve">la cápsula, donde dentro de la misma se puede observar en el video que los niños tienen cierta noción de lo que hay en la tiendita y en el supermercado y más que nada pudieron dar su opinión que era el objetivo principal. Donde se puede ver que los niños tuvieron la disposición necesaria para poder desarrollar de buena manera </w:t>
      </w:r>
      <w:r w:rsidR="004C1EBC">
        <w:rPr>
          <w:rFonts w:ascii="Arial" w:hAnsi="Arial" w:cs="Arial"/>
          <w:sz w:val="24"/>
          <w:szCs w:val="32"/>
        </w:rPr>
        <w:t xml:space="preserve">la actividad. Es por ello por lo que a través de lo que se manejó la actividad/cápsula fue un éxito. </w:t>
      </w:r>
    </w:p>
    <w:p w14:paraId="7A78CE55" w14:textId="20572540" w:rsidR="004C1EBC" w:rsidRDefault="004C1EBC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b/>
          <w:bCs/>
          <w:sz w:val="24"/>
          <w:szCs w:val="32"/>
        </w:rPr>
      </w:pPr>
      <w:r w:rsidRPr="004C1EBC">
        <w:rPr>
          <w:rFonts w:ascii="Arial" w:hAnsi="Arial" w:cs="Arial"/>
          <w:b/>
          <w:bCs/>
          <w:sz w:val="24"/>
          <w:szCs w:val="32"/>
        </w:rPr>
        <w:t>Link de la cápsula: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hyperlink r:id="rId7" w:history="1">
        <w:r w:rsidRPr="008928BC">
          <w:rPr>
            <w:rStyle w:val="Hipervnculo"/>
            <w:rFonts w:ascii="Arial" w:hAnsi="Arial" w:cs="Arial"/>
            <w:b/>
            <w:bCs/>
            <w:sz w:val="24"/>
            <w:szCs w:val="32"/>
          </w:rPr>
          <w:t>https://www.youtube.com/watch?v=ZRmFja_0Hgw</w:t>
        </w:r>
      </w:hyperlink>
    </w:p>
    <w:p w14:paraId="1D54B3FF" w14:textId="77777777" w:rsidR="004C1EBC" w:rsidRPr="004C1EBC" w:rsidRDefault="004C1EBC" w:rsidP="004C1EBC">
      <w:pPr>
        <w:tabs>
          <w:tab w:val="center" w:pos="4779"/>
          <w:tab w:val="right" w:pos="8838"/>
        </w:tabs>
        <w:spacing w:after="0" w:line="360" w:lineRule="auto"/>
        <w:rPr>
          <w:rFonts w:ascii="Arial" w:hAnsi="Arial" w:cs="Arial"/>
          <w:b/>
          <w:bCs/>
          <w:sz w:val="24"/>
          <w:szCs w:val="32"/>
        </w:rPr>
      </w:pPr>
    </w:p>
    <w:p w14:paraId="261844BE" w14:textId="0023EDC0" w:rsidR="00FA0E7B" w:rsidRDefault="004C1EBC" w:rsidP="004C1EBC">
      <w:pPr>
        <w:spacing w:line="360" w:lineRule="auto"/>
      </w:pPr>
    </w:p>
    <w:sectPr w:rsidR="00FA0E7B" w:rsidSect="004C1EB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9CE"/>
    <w:multiLevelType w:val="hybridMultilevel"/>
    <w:tmpl w:val="45CAABA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32"/>
    <w:rsid w:val="00312132"/>
    <w:rsid w:val="004C1EBC"/>
    <w:rsid w:val="00AF2B36"/>
    <w:rsid w:val="00F0351A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7807"/>
  <w15:chartTrackingRefBased/>
  <w15:docId w15:val="{564CFC2A-C782-4295-A49A-E64654AE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13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1E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RmFja_0H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2021-06-24T16:59:00Z</dcterms:created>
  <dcterms:modified xsi:type="dcterms:W3CDTF">2021-06-24T17:25:00Z</dcterms:modified>
</cp:coreProperties>
</file>