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B48A1" w14:textId="38F4A63C" w:rsidR="00277932" w:rsidRDefault="0088501A" w:rsidP="0088501A">
      <w:pPr>
        <w:jc w:val="center"/>
        <w:rPr>
          <w:b/>
        </w:rPr>
      </w:pPr>
      <w:r>
        <w:rPr>
          <w:b/>
        </w:rPr>
        <w:t>Ana Cecilia Villanueva García #20</w:t>
      </w:r>
    </w:p>
    <w:p w14:paraId="228E0568" w14:textId="77777777" w:rsidR="00277932" w:rsidRDefault="00277932" w:rsidP="00277932">
      <w:pPr>
        <w:jc w:val="center"/>
        <w:rPr>
          <w:b/>
        </w:rPr>
      </w:pPr>
      <w:r w:rsidRPr="00277932">
        <w:rPr>
          <w:b/>
          <w:sz w:val="24"/>
        </w:rPr>
        <w:t>Conceptos básicos del desarrollo socioemocional</w:t>
      </w:r>
      <w:r>
        <w:rPr>
          <w:b/>
        </w:rPr>
        <w:t>.</w:t>
      </w:r>
    </w:p>
    <w:p w14:paraId="3D72341C" w14:textId="77777777" w:rsidR="00277932" w:rsidRDefault="00277932" w:rsidP="00687018">
      <w:pPr>
        <w:rPr>
          <w:i/>
        </w:rPr>
      </w:pPr>
      <w:r>
        <w:rPr>
          <w:i/>
        </w:rPr>
        <w:t>INSTRUCCIONES:</w:t>
      </w:r>
    </w:p>
    <w:p w14:paraId="6145DB07" w14:textId="77777777" w:rsidR="00277932" w:rsidRDefault="00687018" w:rsidP="00277932">
      <w:pPr>
        <w:pStyle w:val="Prrafodelista"/>
        <w:numPr>
          <w:ilvl w:val="0"/>
          <w:numId w:val="1"/>
        </w:numPr>
        <w:rPr>
          <w:i/>
        </w:rPr>
      </w:pPr>
      <w:r w:rsidRPr="00277932">
        <w:rPr>
          <w:i/>
        </w:rPr>
        <w:t>Identifica tu número de lis</w:t>
      </w:r>
      <w:r w:rsidR="005F4AA4">
        <w:rPr>
          <w:i/>
        </w:rPr>
        <w:t>ta que debe aparecer dos veces</w:t>
      </w:r>
    </w:p>
    <w:p w14:paraId="4FF098F9" w14:textId="77777777" w:rsid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 xml:space="preserve">Ubica qué </w:t>
      </w:r>
      <w:r w:rsidR="00687018" w:rsidRPr="00277932">
        <w:rPr>
          <w:i/>
        </w:rPr>
        <w:t>concepto y de que autor te va a tocar investigar</w:t>
      </w:r>
      <w:r>
        <w:rPr>
          <w:i/>
        </w:rPr>
        <w:t xml:space="preserve"> de acuerdo a las dos celdas en que aparece tu número de lista</w:t>
      </w:r>
    </w:p>
    <w:p w14:paraId="5C2964D8" w14:textId="77777777" w:rsidR="00687018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En las dos celdas que te corresponden vacía el resultado de tu investigación</w:t>
      </w:r>
      <w:r w:rsidR="00687018" w:rsidRPr="00277932">
        <w:rPr>
          <w:i/>
        </w:rPr>
        <w:t>.</w:t>
      </w:r>
    </w:p>
    <w:p w14:paraId="3B0E8AE2" w14:textId="77777777" w:rsidR="00277932" w:rsidRP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Analiza el producto de tu investigación para compartir en clase</w:t>
      </w:r>
    </w:p>
    <w:p w14:paraId="37F2E6D4" w14:textId="77777777" w:rsidR="00687018" w:rsidRDefault="00687018" w:rsidP="00687018">
      <w:pPr>
        <w:rPr>
          <w:i/>
        </w:rPr>
      </w:pPr>
    </w:p>
    <w:p w14:paraId="7C8E2DFA" w14:textId="77777777" w:rsidR="00687018" w:rsidRDefault="00687018" w:rsidP="00687018">
      <w:pPr>
        <w:rPr>
          <w:i/>
        </w:rPr>
      </w:pPr>
      <w:r>
        <w:rPr>
          <w:i/>
        </w:rPr>
        <w:t>En escuela en red subirás esta tabla con la consulta en la celda correspondiente.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2409"/>
        <w:gridCol w:w="1843"/>
        <w:gridCol w:w="1843"/>
      </w:tblGrid>
      <w:tr w:rsidR="00687018" w14:paraId="6C12C385" w14:textId="77777777" w:rsidTr="00F672B4">
        <w:trPr>
          <w:jc w:val="center"/>
        </w:trPr>
        <w:tc>
          <w:tcPr>
            <w:tcW w:w="1413" w:type="dxa"/>
            <w:shd w:val="clear" w:color="auto" w:fill="9CC2E5" w:themeFill="accent1" w:themeFillTint="99"/>
            <w:vAlign w:val="center"/>
          </w:tcPr>
          <w:p w14:paraId="7586BD4A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4D18A842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Emociones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14:paraId="45FBC6DD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Sentimientos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6708F2C9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Conducta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D56F570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Desarrollo socioemocional</w:t>
            </w:r>
          </w:p>
        </w:tc>
      </w:tr>
      <w:tr w:rsidR="00687018" w14:paraId="39E309C1" w14:textId="77777777" w:rsidTr="00F672B4">
        <w:trPr>
          <w:jc w:val="center"/>
        </w:trPr>
        <w:tc>
          <w:tcPr>
            <w:tcW w:w="1413" w:type="dxa"/>
            <w:shd w:val="clear" w:color="auto" w:fill="9CC2E5" w:themeFill="accent1" w:themeFillTint="99"/>
            <w:vAlign w:val="center"/>
          </w:tcPr>
          <w:p w14:paraId="26E3AC7F" w14:textId="77777777"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Bisquerra</w:t>
            </w:r>
          </w:p>
        </w:tc>
        <w:tc>
          <w:tcPr>
            <w:tcW w:w="1843" w:type="dxa"/>
            <w:vAlign w:val="center"/>
          </w:tcPr>
          <w:p w14:paraId="075D3C43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1, 21</w:t>
            </w:r>
          </w:p>
        </w:tc>
        <w:tc>
          <w:tcPr>
            <w:tcW w:w="2409" w:type="dxa"/>
            <w:vAlign w:val="center"/>
          </w:tcPr>
          <w:p w14:paraId="2FB68CCA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 xml:space="preserve">2, </w:t>
            </w:r>
            <w:r w:rsidRPr="000E4A40">
              <w:rPr>
                <w:i/>
                <w:highlight w:val="yellow"/>
              </w:rPr>
              <w:t>20</w:t>
            </w:r>
          </w:p>
          <w:p w14:paraId="1EDD8BB1" w14:textId="1D609AF8" w:rsidR="00A22A8F" w:rsidRPr="00A22A8F" w:rsidRDefault="00A22A8F" w:rsidP="00A22A8F">
            <w:r>
              <w:t xml:space="preserve">Bisquerra (2000) aporta una definición más integrada de la emoción definiéndola como un estado complejo del organismo caracterizado por una excitación o perturbación que predispone a una respuesta organizada. Esta emoción se activa a partir de un acontecimiento. Su percepción puede ser consciente o inconsciente. El acontecimiento, también denominado estímulo, puede ser externo o interno; actual, pasado o futuro; real o </w:t>
            </w:r>
            <w:r w:rsidRPr="00A22A8F">
              <w:t xml:space="preserve">imaginario. Este estímulo que puede generar emociones recibe el nombre genérico de objeto y dentro de éste están los hechos, las cosas, los animales, personas, etc. Por tanto, las emociones son reacciones a las </w:t>
            </w:r>
            <w:r w:rsidRPr="00A22A8F">
              <w:lastRenderedPageBreak/>
              <w:t>informaciones que recibimos en nuestras relaciones con el entorno. Este autor enfatiza cómo la evaluación que hacemos sobre esa información va a mediatizar y determinar el tipo de emoción 4 desencadenada.</w:t>
            </w:r>
          </w:p>
        </w:tc>
        <w:tc>
          <w:tcPr>
            <w:tcW w:w="1843" w:type="dxa"/>
            <w:vAlign w:val="center"/>
          </w:tcPr>
          <w:p w14:paraId="3444C55E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3, 19</w:t>
            </w:r>
          </w:p>
        </w:tc>
        <w:tc>
          <w:tcPr>
            <w:tcW w:w="1843" w:type="dxa"/>
            <w:vAlign w:val="center"/>
          </w:tcPr>
          <w:p w14:paraId="4D54663D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4, 18</w:t>
            </w:r>
          </w:p>
        </w:tc>
      </w:tr>
      <w:tr w:rsidR="00687018" w14:paraId="78DD838A" w14:textId="77777777" w:rsidTr="00F672B4">
        <w:trPr>
          <w:jc w:val="center"/>
        </w:trPr>
        <w:tc>
          <w:tcPr>
            <w:tcW w:w="1413" w:type="dxa"/>
            <w:shd w:val="clear" w:color="auto" w:fill="9CC2E5" w:themeFill="accent1" w:themeFillTint="99"/>
            <w:vAlign w:val="center"/>
          </w:tcPr>
          <w:p w14:paraId="55F9F18D" w14:textId="77777777"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Goleman</w:t>
            </w:r>
          </w:p>
        </w:tc>
        <w:tc>
          <w:tcPr>
            <w:tcW w:w="1843" w:type="dxa"/>
            <w:vAlign w:val="center"/>
          </w:tcPr>
          <w:p w14:paraId="70B49027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5, 17</w:t>
            </w:r>
          </w:p>
        </w:tc>
        <w:tc>
          <w:tcPr>
            <w:tcW w:w="2409" w:type="dxa"/>
            <w:vAlign w:val="center"/>
          </w:tcPr>
          <w:p w14:paraId="5A0B1184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6, 16</w:t>
            </w:r>
          </w:p>
        </w:tc>
        <w:tc>
          <w:tcPr>
            <w:tcW w:w="1843" w:type="dxa"/>
            <w:vAlign w:val="center"/>
          </w:tcPr>
          <w:p w14:paraId="75ABDDC6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7, 15</w:t>
            </w:r>
          </w:p>
        </w:tc>
        <w:tc>
          <w:tcPr>
            <w:tcW w:w="1843" w:type="dxa"/>
            <w:vAlign w:val="center"/>
          </w:tcPr>
          <w:p w14:paraId="5D67F98D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8, 14</w:t>
            </w:r>
          </w:p>
        </w:tc>
      </w:tr>
      <w:tr w:rsidR="00687018" w14:paraId="6B24D0B4" w14:textId="77777777" w:rsidTr="00F672B4">
        <w:trPr>
          <w:jc w:val="center"/>
        </w:trPr>
        <w:tc>
          <w:tcPr>
            <w:tcW w:w="1413" w:type="dxa"/>
            <w:shd w:val="clear" w:color="auto" w:fill="9CC2E5" w:themeFill="accent1" w:themeFillTint="99"/>
            <w:vAlign w:val="center"/>
          </w:tcPr>
          <w:p w14:paraId="650C45DC" w14:textId="77777777"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Cueli</w:t>
            </w:r>
            <w:proofErr w:type="spellEnd"/>
          </w:p>
        </w:tc>
        <w:tc>
          <w:tcPr>
            <w:tcW w:w="1843" w:type="dxa"/>
            <w:vAlign w:val="center"/>
          </w:tcPr>
          <w:p w14:paraId="22E0E529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9, 13</w:t>
            </w:r>
          </w:p>
        </w:tc>
        <w:tc>
          <w:tcPr>
            <w:tcW w:w="2409" w:type="dxa"/>
            <w:vAlign w:val="center"/>
          </w:tcPr>
          <w:p w14:paraId="28C42060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10, 12</w:t>
            </w:r>
          </w:p>
        </w:tc>
        <w:tc>
          <w:tcPr>
            <w:tcW w:w="1843" w:type="dxa"/>
            <w:vAlign w:val="center"/>
          </w:tcPr>
          <w:p w14:paraId="071ACB7C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11, 1</w:t>
            </w:r>
          </w:p>
        </w:tc>
        <w:tc>
          <w:tcPr>
            <w:tcW w:w="1843" w:type="dxa"/>
            <w:vAlign w:val="center"/>
          </w:tcPr>
          <w:p w14:paraId="29FD07E6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12, 11</w:t>
            </w:r>
          </w:p>
        </w:tc>
      </w:tr>
      <w:tr w:rsidR="00687018" w14:paraId="21E08508" w14:textId="77777777" w:rsidTr="00F672B4">
        <w:trPr>
          <w:jc w:val="center"/>
        </w:trPr>
        <w:tc>
          <w:tcPr>
            <w:tcW w:w="1413" w:type="dxa"/>
            <w:shd w:val="clear" w:color="auto" w:fill="9CC2E5" w:themeFill="accent1" w:themeFillTint="99"/>
            <w:vAlign w:val="center"/>
          </w:tcPr>
          <w:p w14:paraId="7E677489" w14:textId="77777777"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Antoni M</w:t>
            </w:r>
          </w:p>
        </w:tc>
        <w:tc>
          <w:tcPr>
            <w:tcW w:w="1843" w:type="dxa"/>
            <w:vAlign w:val="center"/>
          </w:tcPr>
          <w:p w14:paraId="61EEA261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13, 10</w:t>
            </w:r>
          </w:p>
        </w:tc>
        <w:tc>
          <w:tcPr>
            <w:tcW w:w="2409" w:type="dxa"/>
            <w:vAlign w:val="center"/>
          </w:tcPr>
          <w:p w14:paraId="1AD851C3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14, 9</w:t>
            </w:r>
          </w:p>
        </w:tc>
        <w:tc>
          <w:tcPr>
            <w:tcW w:w="1843" w:type="dxa"/>
            <w:vAlign w:val="center"/>
          </w:tcPr>
          <w:p w14:paraId="77C5563E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15, 8</w:t>
            </w:r>
          </w:p>
        </w:tc>
        <w:tc>
          <w:tcPr>
            <w:tcW w:w="1843" w:type="dxa"/>
            <w:vAlign w:val="center"/>
          </w:tcPr>
          <w:p w14:paraId="688A6F66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16, 7</w:t>
            </w:r>
          </w:p>
        </w:tc>
      </w:tr>
      <w:tr w:rsidR="00687018" w14:paraId="34E13ACF" w14:textId="77777777" w:rsidTr="00F672B4">
        <w:trPr>
          <w:jc w:val="center"/>
        </w:trPr>
        <w:tc>
          <w:tcPr>
            <w:tcW w:w="1413" w:type="dxa"/>
            <w:shd w:val="clear" w:color="auto" w:fill="9CC2E5" w:themeFill="accent1" w:themeFillTint="99"/>
            <w:vAlign w:val="center"/>
          </w:tcPr>
          <w:p w14:paraId="3D5C49BD" w14:textId="77777777"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Mulsow</w:t>
            </w:r>
            <w:proofErr w:type="spellEnd"/>
          </w:p>
        </w:tc>
        <w:tc>
          <w:tcPr>
            <w:tcW w:w="1843" w:type="dxa"/>
            <w:vAlign w:val="center"/>
          </w:tcPr>
          <w:p w14:paraId="1885BC97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17, 6</w:t>
            </w:r>
          </w:p>
        </w:tc>
        <w:tc>
          <w:tcPr>
            <w:tcW w:w="2409" w:type="dxa"/>
            <w:vAlign w:val="center"/>
          </w:tcPr>
          <w:p w14:paraId="5DA0BA08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18, 5</w:t>
            </w:r>
          </w:p>
        </w:tc>
        <w:tc>
          <w:tcPr>
            <w:tcW w:w="1843" w:type="dxa"/>
            <w:vAlign w:val="center"/>
          </w:tcPr>
          <w:p w14:paraId="7A0DA230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19, 4</w:t>
            </w:r>
          </w:p>
        </w:tc>
        <w:tc>
          <w:tcPr>
            <w:tcW w:w="1843" w:type="dxa"/>
            <w:vAlign w:val="center"/>
          </w:tcPr>
          <w:p w14:paraId="26AA6417" w14:textId="77777777" w:rsidR="00687018" w:rsidRDefault="00687018" w:rsidP="00687018">
            <w:pPr>
              <w:jc w:val="center"/>
              <w:rPr>
                <w:i/>
              </w:rPr>
            </w:pPr>
            <w:r w:rsidRPr="000E4A40">
              <w:rPr>
                <w:i/>
                <w:highlight w:val="yellow"/>
              </w:rPr>
              <w:t>20</w:t>
            </w:r>
            <w:r>
              <w:rPr>
                <w:i/>
              </w:rPr>
              <w:t>, 3</w:t>
            </w:r>
          </w:p>
          <w:p w14:paraId="40D047AB" w14:textId="77777777" w:rsidR="00A22A8F" w:rsidRDefault="00F672B4" w:rsidP="00A22A8F">
            <w:r>
              <w:t xml:space="preserve">El hombre ha desarrollado una sicósfera que es dinámica y cambiante y hoy más que ayer, a raíz de los cambios socio culturales y de los impactos de la globalización. Como este comportamiento no está determinado por la herencia, el ser humano puede proyectarse en un camino trascendente, la autorrealización. Es </w:t>
            </w:r>
            <w:r w:rsidR="0088501A">
              <w:t>decir,</w:t>
            </w:r>
            <w:r>
              <w:t xml:space="preserve"> puede optar por satisfacer necesidades del ser o metanecesidades (MASLOW, 1997).</w:t>
            </w:r>
          </w:p>
          <w:p w14:paraId="7814111B" w14:textId="7EA8C503" w:rsidR="0088501A" w:rsidRPr="00A22A8F" w:rsidRDefault="0088501A" w:rsidP="00A22A8F">
            <w:r>
              <w:t xml:space="preserve">El Desarrollo Humano entendido como un proceso de ampliación de las opciones de las </w:t>
            </w:r>
            <w:r>
              <w:lastRenderedPageBreak/>
              <w:t>personas conjugando aspectos fundamentales como: lo constitucional de cada ser, la herencia y la interacción de estos elementos con el medio en el cual se desarrolla, aunado al proceso evolutivo propio del Desarrollo Humano de las personas, permitiría tener acceso a los recursos necesarios para mantener un nivel de vida decente que favorezca un bien ser, bien-estar, bien hacer y un bien saber.</w:t>
            </w:r>
          </w:p>
        </w:tc>
      </w:tr>
      <w:tr w:rsidR="00687018" w14:paraId="290B503B" w14:textId="77777777" w:rsidTr="00F672B4">
        <w:trPr>
          <w:jc w:val="center"/>
        </w:trPr>
        <w:tc>
          <w:tcPr>
            <w:tcW w:w="1413" w:type="dxa"/>
            <w:shd w:val="clear" w:color="auto" w:fill="9CC2E5" w:themeFill="accent1" w:themeFillTint="99"/>
            <w:vAlign w:val="center"/>
          </w:tcPr>
          <w:p w14:paraId="3F99F6BC" w14:textId="77777777" w:rsidR="00687018" w:rsidRDefault="00687018" w:rsidP="00687018">
            <w:pPr>
              <w:rPr>
                <w:i/>
              </w:rPr>
            </w:pPr>
            <w:r>
              <w:rPr>
                <w:i/>
              </w:rPr>
              <w:lastRenderedPageBreak/>
              <w:t>Aprendizajes clave</w:t>
            </w:r>
          </w:p>
        </w:tc>
        <w:tc>
          <w:tcPr>
            <w:tcW w:w="1843" w:type="dxa"/>
            <w:vAlign w:val="center"/>
          </w:tcPr>
          <w:p w14:paraId="109B547B" w14:textId="77777777"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2409" w:type="dxa"/>
            <w:vAlign w:val="center"/>
          </w:tcPr>
          <w:p w14:paraId="32049F6B" w14:textId="77777777"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843" w:type="dxa"/>
            <w:vAlign w:val="center"/>
          </w:tcPr>
          <w:p w14:paraId="76649034" w14:textId="77777777"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843" w:type="dxa"/>
            <w:vAlign w:val="center"/>
          </w:tcPr>
          <w:p w14:paraId="0AFD0DE9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1, 2 y 21</w:t>
            </w:r>
          </w:p>
        </w:tc>
      </w:tr>
    </w:tbl>
    <w:p w14:paraId="32119DD5" w14:textId="77777777" w:rsidR="00687018" w:rsidRDefault="00687018" w:rsidP="00687018">
      <w:pPr>
        <w:rPr>
          <w:i/>
        </w:rPr>
      </w:pPr>
    </w:p>
    <w:p w14:paraId="68E0C945" w14:textId="77777777" w:rsidR="00F06263" w:rsidRDefault="00F06263"/>
    <w:sectPr w:rsidR="00F0626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75DF4" w14:textId="77777777" w:rsidR="00AD6875" w:rsidRDefault="00AD6875" w:rsidP="00277932">
      <w:pPr>
        <w:spacing w:after="0" w:line="240" w:lineRule="auto"/>
      </w:pPr>
      <w:r>
        <w:separator/>
      </w:r>
    </w:p>
  </w:endnote>
  <w:endnote w:type="continuationSeparator" w:id="0">
    <w:p w14:paraId="2C0898A1" w14:textId="77777777" w:rsidR="00AD6875" w:rsidRDefault="00AD6875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CF598" w14:textId="77777777" w:rsidR="00AD6875" w:rsidRDefault="00AD6875" w:rsidP="00277932">
      <w:pPr>
        <w:spacing w:after="0" w:line="240" w:lineRule="auto"/>
      </w:pPr>
      <w:r>
        <w:separator/>
      </w:r>
    </w:p>
  </w:footnote>
  <w:footnote w:type="continuationSeparator" w:id="0">
    <w:p w14:paraId="7DA47E34" w14:textId="77777777" w:rsidR="00AD6875" w:rsidRDefault="00AD6875" w:rsidP="0027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18EA5" w14:textId="77777777" w:rsidR="00277932" w:rsidRDefault="00277932" w:rsidP="00277932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91B0E9D" wp14:editId="5E0C6C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DAF72C4" w14:textId="77777777" w:rsidR="00277932" w:rsidRDefault="0027793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77932" w:rsidRDefault="0027793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Curso: Estrategias para el desarrollo socioemocional.</w:t>
    </w:r>
  </w:p>
  <w:p w14:paraId="229A1567" w14:textId="77777777" w:rsidR="00277932" w:rsidRDefault="00277932" w:rsidP="00277932">
    <w:pPr>
      <w:pStyle w:val="Encabezado"/>
      <w:jc w:val="center"/>
    </w:pPr>
    <w:r>
      <w:t>Ciclo Escolar:2020-2021</w:t>
    </w:r>
  </w:p>
  <w:p w14:paraId="0C33D282" w14:textId="77777777" w:rsidR="00277932" w:rsidRDefault="00277932" w:rsidP="002779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18"/>
    <w:rsid w:val="000E4A40"/>
    <w:rsid w:val="00162D98"/>
    <w:rsid w:val="00277932"/>
    <w:rsid w:val="005F4AA4"/>
    <w:rsid w:val="00687018"/>
    <w:rsid w:val="0088501A"/>
    <w:rsid w:val="009D7CAB"/>
    <w:rsid w:val="00A22A8F"/>
    <w:rsid w:val="00AD6875"/>
    <w:rsid w:val="00BE652F"/>
    <w:rsid w:val="00BF3791"/>
    <w:rsid w:val="00F06263"/>
    <w:rsid w:val="00F6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B9412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ANA CECILIA VILLANUEVA GARCIA</cp:lastModifiedBy>
  <cp:revision>2</cp:revision>
  <dcterms:created xsi:type="dcterms:W3CDTF">2021-03-14T02:38:00Z</dcterms:created>
  <dcterms:modified xsi:type="dcterms:W3CDTF">2021-03-14T02:38:00Z</dcterms:modified>
</cp:coreProperties>
</file>