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6150C" w14:textId="529015FA" w:rsidR="00615725" w:rsidRPr="00615725" w:rsidRDefault="00615725" w:rsidP="00615725">
      <w:pPr>
        <w:tabs>
          <w:tab w:val="left" w:pos="720"/>
        </w:tabs>
        <w:rPr>
          <w:rFonts w:ascii="Arial" w:hAnsi="Arial" w:cs="Arial"/>
          <w:b/>
          <w:bCs/>
          <w:sz w:val="28"/>
          <w:szCs w:val="28"/>
        </w:rPr>
      </w:pPr>
      <w:r w:rsidRPr="00615725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08663DA" wp14:editId="3A11F004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1143000" cy="1381125"/>
            <wp:effectExtent l="0" t="0" r="0" b="9525"/>
            <wp:wrapSquare wrapText="bothSides"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26" r="17436"/>
                    <a:stretch/>
                  </pic:blipFill>
                  <pic:spPr bwMode="auto">
                    <a:xfrm>
                      <a:off x="0" y="0"/>
                      <a:ext cx="1143000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15725">
        <w:rPr>
          <w:rFonts w:ascii="Arial" w:hAnsi="Arial" w:cs="Arial"/>
          <w:b/>
          <w:bCs/>
          <w:sz w:val="28"/>
          <w:szCs w:val="28"/>
        </w:rPr>
        <w:t xml:space="preserve">Escuela Normal de Educación Preescolar </w:t>
      </w:r>
    </w:p>
    <w:p w14:paraId="6966CC27" w14:textId="7BD5C268" w:rsidR="00615725" w:rsidRPr="00615725" w:rsidRDefault="00615725" w:rsidP="00615725">
      <w:pPr>
        <w:tabs>
          <w:tab w:val="left" w:pos="720"/>
        </w:tabs>
        <w:rPr>
          <w:rFonts w:ascii="Arial" w:hAnsi="Arial" w:cs="Arial"/>
          <w:sz w:val="28"/>
          <w:szCs w:val="28"/>
        </w:rPr>
      </w:pPr>
      <w:r w:rsidRPr="00615725">
        <w:rPr>
          <w:rFonts w:ascii="Arial" w:hAnsi="Arial" w:cs="Arial"/>
          <w:sz w:val="28"/>
          <w:szCs w:val="28"/>
        </w:rPr>
        <w:t xml:space="preserve">Licenciatura en educación preescolar </w:t>
      </w:r>
    </w:p>
    <w:p w14:paraId="369D8189" w14:textId="7E348C88" w:rsidR="00615725" w:rsidRPr="00615725" w:rsidRDefault="00615725" w:rsidP="00615725">
      <w:pPr>
        <w:tabs>
          <w:tab w:val="left" w:pos="720"/>
        </w:tabs>
        <w:rPr>
          <w:rFonts w:ascii="Arial" w:hAnsi="Arial" w:cs="Arial"/>
          <w:sz w:val="28"/>
          <w:szCs w:val="28"/>
        </w:rPr>
      </w:pPr>
      <w:r w:rsidRPr="00615725">
        <w:rPr>
          <w:rFonts w:ascii="Arial" w:hAnsi="Arial" w:cs="Arial"/>
          <w:sz w:val="28"/>
          <w:szCs w:val="28"/>
        </w:rPr>
        <w:t>Ciclo escolar 2020-2021</w:t>
      </w:r>
    </w:p>
    <w:p w14:paraId="41004A1F" w14:textId="77777777" w:rsidR="00615725" w:rsidRPr="00615725" w:rsidRDefault="00615725" w:rsidP="00615725">
      <w:pPr>
        <w:tabs>
          <w:tab w:val="left" w:pos="720"/>
        </w:tabs>
        <w:rPr>
          <w:rFonts w:ascii="Arial" w:hAnsi="Arial" w:cs="Arial"/>
          <w:sz w:val="28"/>
          <w:szCs w:val="28"/>
        </w:rPr>
      </w:pPr>
    </w:p>
    <w:p w14:paraId="074B25F6" w14:textId="7CA7FDF2" w:rsidR="00615725" w:rsidRPr="00615725" w:rsidRDefault="00615725" w:rsidP="00615725">
      <w:pPr>
        <w:tabs>
          <w:tab w:val="left" w:pos="720"/>
        </w:tabs>
        <w:rPr>
          <w:rFonts w:ascii="Arial" w:hAnsi="Arial" w:cs="Arial"/>
          <w:sz w:val="28"/>
          <w:szCs w:val="28"/>
        </w:rPr>
      </w:pPr>
    </w:p>
    <w:p w14:paraId="31751CE6" w14:textId="63AE358F" w:rsidR="00615725" w:rsidRPr="00615725" w:rsidRDefault="00615725" w:rsidP="00615725">
      <w:pPr>
        <w:tabs>
          <w:tab w:val="left" w:pos="720"/>
        </w:tabs>
        <w:jc w:val="center"/>
        <w:rPr>
          <w:rFonts w:ascii="Arial" w:hAnsi="Arial" w:cs="Arial"/>
          <w:sz w:val="28"/>
          <w:szCs w:val="28"/>
        </w:rPr>
      </w:pPr>
      <w:r w:rsidRPr="00615725">
        <w:rPr>
          <w:rFonts w:ascii="Arial" w:hAnsi="Arial" w:cs="Arial"/>
          <w:b/>
          <w:bCs/>
          <w:sz w:val="28"/>
          <w:szCs w:val="28"/>
        </w:rPr>
        <w:t>Docente:</w:t>
      </w:r>
      <w:r w:rsidRPr="00615725">
        <w:rPr>
          <w:rFonts w:ascii="Arial" w:hAnsi="Arial" w:cs="Arial"/>
          <w:sz w:val="28"/>
          <w:szCs w:val="28"/>
        </w:rPr>
        <w:t xml:space="preserve"> Laura Cristina Reyes Rincón</w:t>
      </w:r>
    </w:p>
    <w:p w14:paraId="2D4988B7" w14:textId="1514B0EE" w:rsidR="00615725" w:rsidRPr="00615725" w:rsidRDefault="00615725" w:rsidP="00615725">
      <w:pPr>
        <w:tabs>
          <w:tab w:val="left" w:pos="720"/>
        </w:tabs>
        <w:jc w:val="center"/>
        <w:rPr>
          <w:rFonts w:ascii="Arial" w:hAnsi="Arial" w:cs="Arial"/>
          <w:sz w:val="28"/>
          <w:szCs w:val="28"/>
        </w:rPr>
      </w:pPr>
      <w:r w:rsidRPr="00615725">
        <w:rPr>
          <w:rFonts w:ascii="Arial" w:hAnsi="Arial" w:cs="Arial"/>
          <w:b/>
          <w:bCs/>
          <w:sz w:val="28"/>
          <w:szCs w:val="28"/>
        </w:rPr>
        <w:t>Materia:</w:t>
      </w:r>
      <w:r w:rsidRPr="00615725">
        <w:rPr>
          <w:rFonts w:ascii="Arial" w:hAnsi="Arial" w:cs="Arial"/>
          <w:sz w:val="28"/>
          <w:szCs w:val="28"/>
        </w:rPr>
        <w:t xml:space="preserve"> estrategias para el desarrollo socioemocional</w:t>
      </w:r>
    </w:p>
    <w:p w14:paraId="55D46191" w14:textId="77777777" w:rsidR="00615725" w:rsidRPr="00615725" w:rsidRDefault="00615725" w:rsidP="00615725">
      <w:pPr>
        <w:tabs>
          <w:tab w:val="left" w:pos="720"/>
        </w:tabs>
        <w:jc w:val="center"/>
        <w:rPr>
          <w:rFonts w:ascii="Arial" w:hAnsi="Arial" w:cs="Arial"/>
          <w:sz w:val="28"/>
          <w:szCs w:val="28"/>
        </w:rPr>
      </w:pPr>
    </w:p>
    <w:p w14:paraId="0BF65C20" w14:textId="140A9C9C" w:rsidR="00615725" w:rsidRPr="00615725" w:rsidRDefault="00615725" w:rsidP="00615725">
      <w:pPr>
        <w:tabs>
          <w:tab w:val="left" w:pos="72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615725">
        <w:rPr>
          <w:rFonts w:ascii="Arial" w:hAnsi="Arial" w:cs="Arial"/>
          <w:b/>
          <w:bCs/>
          <w:sz w:val="28"/>
          <w:szCs w:val="28"/>
        </w:rPr>
        <w:t>Diagnóstico</w:t>
      </w:r>
    </w:p>
    <w:p w14:paraId="289A8719" w14:textId="4B3D868C" w:rsidR="00615725" w:rsidRPr="00615725" w:rsidRDefault="00615725" w:rsidP="00615725">
      <w:pPr>
        <w:tabs>
          <w:tab w:val="left" w:pos="720"/>
        </w:tabs>
        <w:jc w:val="center"/>
        <w:rPr>
          <w:rFonts w:ascii="Arial" w:hAnsi="Arial" w:cs="Arial"/>
          <w:sz w:val="28"/>
          <w:szCs w:val="28"/>
        </w:rPr>
      </w:pPr>
    </w:p>
    <w:p w14:paraId="125F991B" w14:textId="7626D3DA" w:rsidR="00615725" w:rsidRPr="00615725" w:rsidRDefault="00615725" w:rsidP="00615725">
      <w:pPr>
        <w:tabs>
          <w:tab w:val="left" w:pos="720"/>
        </w:tabs>
        <w:jc w:val="center"/>
        <w:rPr>
          <w:rFonts w:ascii="Arial" w:hAnsi="Arial" w:cs="Arial"/>
          <w:sz w:val="28"/>
          <w:szCs w:val="28"/>
        </w:rPr>
      </w:pPr>
      <w:r w:rsidRPr="00615725">
        <w:rPr>
          <w:rFonts w:ascii="Arial" w:hAnsi="Arial" w:cs="Arial"/>
          <w:b/>
          <w:bCs/>
          <w:sz w:val="28"/>
          <w:szCs w:val="28"/>
        </w:rPr>
        <w:t>Alumna:</w:t>
      </w:r>
      <w:r w:rsidRPr="00615725">
        <w:rPr>
          <w:rFonts w:ascii="Arial" w:hAnsi="Arial" w:cs="Arial"/>
          <w:sz w:val="28"/>
          <w:szCs w:val="28"/>
        </w:rPr>
        <w:t xml:space="preserve"> Yesica Guadalupe López Ramírez</w:t>
      </w:r>
    </w:p>
    <w:p w14:paraId="715AB5FE" w14:textId="4A9A4177" w:rsidR="00615725" w:rsidRPr="00615725" w:rsidRDefault="00615725" w:rsidP="00615725">
      <w:pPr>
        <w:tabs>
          <w:tab w:val="left" w:pos="720"/>
        </w:tabs>
        <w:jc w:val="center"/>
        <w:rPr>
          <w:rFonts w:ascii="Arial" w:hAnsi="Arial" w:cs="Arial"/>
          <w:sz w:val="28"/>
          <w:szCs w:val="28"/>
        </w:rPr>
      </w:pPr>
      <w:r w:rsidRPr="00615725">
        <w:rPr>
          <w:rFonts w:ascii="Arial" w:hAnsi="Arial" w:cs="Arial"/>
          <w:b/>
          <w:bCs/>
          <w:sz w:val="28"/>
          <w:szCs w:val="28"/>
        </w:rPr>
        <w:t>Grado:</w:t>
      </w:r>
      <w:r w:rsidRPr="00615725">
        <w:rPr>
          <w:rFonts w:ascii="Arial" w:hAnsi="Arial" w:cs="Arial"/>
          <w:sz w:val="28"/>
          <w:szCs w:val="28"/>
        </w:rPr>
        <w:t xml:space="preserve"> 2 C</w:t>
      </w:r>
    </w:p>
    <w:p w14:paraId="025C20BD" w14:textId="2360B473" w:rsidR="00615725" w:rsidRPr="00615725" w:rsidRDefault="00615725" w:rsidP="00615725">
      <w:pPr>
        <w:tabs>
          <w:tab w:val="left" w:pos="720"/>
        </w:tabs>
        <w:rPr>
          <w:rFonts w:ascii="Arial" w:hAnsi="Arial" w:cs="Arial"/>
          <w:sz w:val="28"/>
          <w:szCs w:val="28"/>
        </w:rPr>
      </w:pPr>
    </w:p>
    <w:p w14:paraId="4FF765B0" w14:textId="59EA0098" w:rsidR="00615725" w:rsidRPr="00615725" w:rsidRDefault="00615725" w:rsidP="00615725">
      <w:pPr>
        <w:tabs>
          <w:tab w:val="left" w:pos="720"/>
        </w:tabs>
        <w:rPr>
          <w:rFonts w:ascii="Arial" w:hAnsi="Arial" w:cs="Arial"/>
          <w:b/>
          <w:bCs/>
          <w:sz w:val="28"/>
          <w:szCs w:val="28"/>
        </w:rPr>
      </w:pPr>
      <w:r w:rsidRPr="00615725">
        <w:rPr>
          <w:rFonts w:ascii="Arial" w:hAnsi="Arial" w:cs="Arial"/>
          <w:b/>
          <w:bCs/>
          <w:sz w:val="28"/>
          <w:szCs w:val="28"/>
        </w:rPr>
        <w:t>Unidad de aprendizaje I. Bases teóricas del desarrollo de las habilidades socioemocionales.</w:t>
      </w:r>
    </w:p>
    <w:p w14:paraId="2C3BBDC5" w14:textId="1ACE4208" w:rsidR="00615725" w:rsidRPr="00615725" w:rsidRDefault="00615725" w:rsidP="00615725">
      <w:pPr>
        <w:tabs>
          <w:tab w:val="left" w:pos="72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615725">
        <w:rPr>
          <w:rFonts w:ascii="Arial" w:hAnsi="Arial" w:cs="Arial"/>
          <w:b/>
          <w:bCs/>
          <w:sz w:val="28"/>
          <w:szCs w:val="28"/>
        </w:rPr>
        <w:t>Competencias de la unidad de aprendizaje I:</w:t>
      </w:r>
    </w:p>
    <w:p w14:paraId="66C0D77D" w14:textId="720B6C9E" w:rsidR="00615725" w:rsidRPr="00615725" w:rsidRDefault="00615725" w:rsidP="00615725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15725">
        <w:rPr>
          <w:rFonts w:ascii="Arial" w:hAnsi="Arial" w:cs="Arial"/>
          <w:sz w:val="28"/>
          <w:szCs w:val="28"/>
        </w:rPr>
        <w:t>Detecta los procesos de aprendizaje de sus alumnos para favorecer su desarrollo cognitivo y socioemocional.</w:t>
      </w:r>
    </w:p>
    <w:p w14:paraId="798BDE8F" w14:textId="75C7F18A" w:rsidR="00615725" w:rsidRDefault="00615725" w:rsidP="00615725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15725">
        <w:rPr>
          <w:rFonts w:ascii="Arial" w:hAnsi="Arial" w:cs="Arial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  <w:r w:rsidRPr="00615725">
        <w:rPr>
          <w:rFonts w:ascii="Arial" w:hAnsi="Arial" w:cs="Arial"/>
          <w:sz w:val="28"/>
          <w:szCs w:val="28"/>
        </w:rPr>
        <w:br w:type="textWrapping" w:clear="all"/>
      </w:r>
    </w:p>
    <w:p w14:paraId="128A23A9" w14:textId="01FFC5BF" w:rsidR="00615725" w:rsidRDefault="00615725" w:rsidP="00615725">
      <w:pPr>
        <w:rPr>
          <w:rFonts w:ascii="Arial" w:hAnsi="Arial" w:cs="Arial"/>
          <w:sz w:val="28"/>
          <w:szCs w:val="28"/>
        </w:rPr>
      </w:pPr>
    </w:p>
    <w:p w14:paraId="4C51E1EA" w14:textId="7C54AA52" w:rsidR="00615725" w:rsidRDefault="00615725" w:rsidP="00615725">
      <w:pPr>
        <w:rPr>
          <w:rFonts w:ascii="Arial" w:hAnsi="Arial" w:cs="Arial"/>
          <w:sz w:val="28"/>
          <w:szCs w:val="28"/>
        </w:rPr>
      </w:pPr>
    </w:p>
    <w:p w14:paraId="5716F43D" w14:textId="26A4AA18" w:rsidR="00615725" w:rsidRDefault="00615725" w:rsidP="00615725">
      <w:pPr>
        <w:rPr>
          <w:rFonts w:ascii="Arial" w:hAnsi="Arial" w:cs="Arial"/>
          <w:sz w:val="28"/>
          <w:szCs w:val="28"/>
        </w:rPr>
      </w:pPr>
    </w:p>
    <w:p w14:paraId="161E1DB5" w14:textId="1C666B11" w:rsidR="00615725" w:rsidRDefault="00615725" w:rsidP="00615725">
      <w:pPr>
        <w:rPr>
          <w:rFonts w:ascii="Arial" w:hAnsi="Arial" w:cs="Arial"/>
          <w:sz w:val="28"/>
          <w:szCs w:val="28"/>
        </w:rPr>
      </w:pPr>
    </w:p>
    <w:p w14:paraId="7E122AD7" w14:textId="1A026C60" w:rsidR="00615725" w:rsidRDefault="00615725" w:rsidP="00615725">
      <w:pPr>
        <w:rPr>
          <w:rFonts w:ascii="Arial" w:hAnsi="Arial" w:cs="Arial"/>
          <w:sz w:val="28"/>
          <w:szCs w:val="28"/>
        </w:rPr>
      </w:pPr>
    </w:p>
    <w:p w14:paraId="304DE61E" w14:textId="77777777" w:rsidR="005E607E" w:rsidRDefault="005E607E" w:rsidP="005E607E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lastRenderedPageBreak/>
        <w:t>Realiza las siguientes actividades: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3781DE6C" w14:textId="77777777" w:rsidR="005E607E" w:rsidRPr="00546A0B" w:rsidRDefault="005E607E" w:rsidP="005E607E">
      <w:pPr>
        <w:spacing w:after="0" w:line="240" w:lineRule="auto"/>
        <w:ind w:left="360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</w:p>
    <w:p w14:paraId="0C3EA0B1" w14:textId="77777777" w:rsidR="005E607E" w:rsidRDefault="005E607E" w:rsidP="005E607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¿Qué significa la frase?: “No somos responsables de las emociones, pero sí de lo que hacemos con ellas”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59A75667" w14:textId="737DBABC" w:rsidR="005E607E" w:rsidRDefault="00556859" w:rsidP="005E607E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>
        <w:rPr>
          <w:rFonts w:ascii="Century Gothic" w:eastAsia="Times New Roman" w:hAnsi="Century Gothic" w:cs="Segoe UI"/>
          <w:sz w:val="24"/>
          <w:szCs w:val="24"/>
          <w:lang w:eastAsia="es-MX"/>
        </w:rPr>
        <w:t xml:space="preserve">Esta frase quiere decir que los seres humanos no somos responsables de las emociones que sentimos, pero si somos responsables de los actos o acciones que realizamos cuando nos encontramos con una emoción, por ejemplo, si nos encontramos con una emoción negativa como la ira a veces nos provoca hacer cosas malas que no las pensamos en ese momento y nos dejamos llevar por la emoción.  </w:t>
      </w:r>
    </w:p>
    <w:p w14:paraId="6030B4A3" w14:textId="77777777" w:rsidR="005E607E" w:rsidRPr="00546A0B" w:rsidRDefault="005E607E" w:rsidP="005E607E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</w:p>
    <w:p w14:paraId="03AA9ECA" w14:textId="77777777" w:rsidR="005E607E" w:rsidRDefault="005E607E" w:rsidP="005E607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Completa los enunciados con la emoción correspondiente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439A580A" w14:textId="77777777" w:rsidR="005E607E" w:rsidRDefault="005E607E" w:rsidP="005E607E">
      <w:pPr>
        <w:pStyle w:val="Prrafodelista"/>
        <w:rPr>
          <w:rFonts w:ascii="Century Gothic" w:eastAsia="Times New Roman" w:hAnsi="Century Gothic" w:cs="Segoe UI"/>
          <w:sz w:val="24"/>
          <w:szCs w:val="24"/>
          <w:lang w:eastAsia="es-MX"/>
        </w:rPr>
      </w:pPr>
    </w:p>
    <w:p w14:paraId="13305B5E" w14:textId="179E905D" w:rsidR="005E607E" w:rsidRPr="00546A0B" w:rsidRDefault="005E607E" w:rsidP="005E607E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Es grata y se expresa con júbilo</w:t>
      </w:r>
      <w:r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 xml:space="preserve"> </w:t>
      </w:r>
      <w:r w:rsidR="0005040B" w:rsidRPr="0005040B">
        <w:rPr>
          <w:rFonts w:ascii="Century Gothic" w:eastAsia="Times New Roman" w:hAnsi="Century Gothic" w:cs="Segoe UI"/>
          <w:sz w:val="24"/>
          <w:szCs w:val="24"/>
          <w:u w:val="single"/>
          <w:lang w:eastAsia="es-MX"/>
        </w:rPr>
        <w:t>La a</w:t>
      </w:r>
      <w:r w:rsidRPr="0005040B">
        <w:rPr>
          <w:rFonts w:ascii="Century Gothic" w:eastAsia="Times New Roman" w:hAnsi="Century Gothic" w:cs="Segoe UI"/>
          <w:sz w:val="24"/>
          <w:szCs w:val="24"/>
          <w:u w:val="single"/>
          <w:lang w:eastAsia="es-MX"/>
        </w:rPr>
        <w:t>legría</w:t>
      </w:r>
    </w:p>
    <w:p w14:paraId="412DCF8F" w14:textId="68EB4BD8" w:rsidR="005E607E" w:rsidRPr="00546A0B" w:rsidRDefault="005E607E" w:rsidP="005E607E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 xml:space="preserve">Provoca angustia, inseguridad o peligro </w:t>
      </w:r>
      <w:r w:rsidR="0005040B" w:rsidRPr="0005040B">
        <w:rPr>
          <w:rFonts w:ascii="Century Gothic" w:eastAsia="Times New Roman" w:hAnsi="Century Gothic" w:cs="Segoe UI"/>
          <w:sz w:val="24"/>
          <w:szCs w:val="24"/>
          <w:u w:val="single"/>
          <w:lang w:eastAsia="es-MX"/>
        </w:rPr>
        <w:t>La</w:t>
      </w:r>
      <w:r w:rsidR="0005040B" w:rsidRPr="0005040B">
        <w:rPr>
          <w:rFonts w:ascii="Century Gothic" w:eastAsia="Times New Roman" w:hAnsi="Century Gothic" w:cs="Segoe UI"/>
          <w:b/>
          <w:bCs/>
          <w:sz w:val="24"/>
          <w:szCs w:val="24"/>
          <w:u w:val="single"/>
          <w:lang w:eastAsia="es-MX"/>
        </w:rPr>
        <w:t xml:space="preserve"> </w:t>
      </w:r>
      <w:r w:rsidRPr="0005040B">
        <w:rPr>
          <w:rFonts w:ascii="Century Gothic" w:eastAsia="Times New Roman" w:hAnsi="Century Gothic" w:cs="Segoe UI"/>
          <w:sz w:val="24"/>
          <w:szCs w:val="24"/>
          <w:u w:val="single"/>
          <w:lang w:eastAsia="es-MX"/>
        </w:rPr>
        <w:t>ansiedad</w:t>
      </w:r>
      <w:r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 xml:space="preserve"> </w:t>
      </w:r>
    </w:p>
    <w:p w14:paraId="15807373" w14:textId="7A1AA97E" w:rsidR="005E607E" w:rsidRPr="00546A0B" w:rsidRDefault="005E607E" w:rsidP="005E607E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Dan ganas de llorar, provoca decaimiento o poco ánimo</w:t>
      </w:r>
      <w:r w:rsidRPr="000504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 xml:space="preserve"> </w:t>
      </w:r>
      <w:r w:rsidR="0005040B" w:rsidRPr="0005040B">
        <w:rPr>
          <w:rFonts w:ascii="Century Gothic" w:eastAsia="Times New Roman" w:hAnsi="Century Gothic" w:cs="Segoe UI"/>
          <w:sz w:val="24"/>
          <w:szCs w:val="24"/>
          <w:lang w:eastAsia="es-MX"/>
        </w:rPr>
        <w:t>La</w:t>
      </w:r>
      <w:r w:rsidR="0005040B" w:rsidRPr="000504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 xml:space="preserve"> </w:t>
      </w:r>
      <w:r w:rsidR="0005040B" w:rsidRPr="0005040B">
        <w:rPr>
          <w:rFonts w:ascii="Century Gothic" w:eastAsia="Times New Roman" w:hAnsi="Century Gothic" w:cs="Segoe UI"/>
          <w:sz w:val="24"/>
          <w:szCs w:val="24"/>
          <w:lang w:eastAsia="es-MX"/>
        </w:rPr>
        <w:t>t</w:t>
      </w:r>
      <w:r w:rsidRPr="0005040B">
        <w:rPr>
          <w:rFonts w:ascii="Century Gothic" w:eastAsia="Times New Roman" w:hAnsi="Century Gothic" w:cs="Segoe UI"/>
          <w:sz w:val="24"/>
          <w:szCs w:val="24"/>
          <w:lang w:eastAsia="es-MX"/>
        </w:rPr>
        <w:t>risteza</w:t>
      </w:r>
      <w:r w:rsidRPr="0005040B">
        <w:rPr>
          <w:rFonts w:ascii="Century Gothic" w:eastAsia="Times New Roman" w:hAnsi="Century Gothic" w:cs="Segoe UI"/>
          <w:i/>
          <w:iCs/>
          <w:sz w:val="24"/>
          <w:szCs w:val="24"/>
          <w:u w:val="single"/>
          <w:lang w:eastAsia="es-MX"/>
        </w:rPr>
        <w:t xml:space="preserve"> </w:t>
      </w:r>
    </w:p>
    <w:p w14:paraId="7BD9B5BA" w14:textId="2ABA81B8" w:rsidR="005E607E" w:rsidRPr="00546A0B" w:rsidRDefault="005E607E" w:rsidP="005E607E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 xml:space="preserve">Se manifiesta con enfado, resentimiento o irritabilidad </w:t>
      </w:r>
      <w:r w:rsidR="0005040B" w:rsidRPr="0005040B">
        <w:rPr>
          <w:rFonts w:ascii="Century Gothic" w:eastAsia="Times New Roman" w:hAnsi="Century Gothic" w:cs="Segoe UI"/>
          <w:sz w:val="24"/>
          <w:szCs w:val="24"/>
          <w:u w:val="single"/>
          <w:lang w:eastAsia="es-MX"/>
        </w:rPr>
        <w:t>La ira</w:t>
      </w:r>
    </w:p>
    <w:p w14:paraId="6A1D8E30" w14:textId="723AB458" w:rsidR="005E607E" w:rsidRPr="00546A0B" w:rsidRDefault="005E607E" w:rsidP="005E607E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Sensación de desagrado que produce alguien o algo y que impulsa a rechazarlo </w:t>
      </w:r>
      <w:r w:rsidR="0005040B" w:rsidRPr="0005040B">
        <w:rPr>
          <w:rFonts w:ascii="Century Gothic" w:eastAsia="Times New Roman" w:hAnsi="Century Gothic" w:cs="Segoe UI"/>
          <w:sz w:val="24"/>
          <w:szCs w:val="24"/>
          <w:u w:val="single"/>
          <w:lang w:eastAsia="es-MX"/>
        </w:rPr>
        <w:t>Asco</w:t>
      </w:r>
    </w:p>
    <w:p w14:paraId="0AE4BDC1" w14:textId="77777777" w:rsidR="005E607E" w:rsidRPr="00546A0B" w:rsidRDefault="005E607E" w:rsidP="005E607E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MX"/>
        </w:rPr>
      </w:pPr>
      <w:r w:rsidRPr="00546A0B">
        <w:rPr>
          <w:rFonts w:ascii="Century Gothic" w:eastAsia="Times New Roman" w:hAnsi="Century Gothic" w:cs="Segoe UI"/>
          <w:sz w:val="24"/>
          <w:szCs w:val="24"/>
          <w:lang w:val="es-ES" w:eastAsia="es-MX"/>
        </w:rPr>
        <w:t> </w:t>
      </w:r>
    </w:p>
    <w:p w14:paraId="04504153" w14:textId="77777777" w:rsidR="005E607E" w:rsidRPr="00546A0B" w:rsidRDefault="005E607E" w:rsidP="005E607E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Symbol" w:eastAsia="Times New Roman" w:hAnsi="Symbol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t>Relaciona ambas columnas: 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tbl>
      <w:tblPr>
        <w:tblW w:w="7755" w:type="dxa"/>
        <w:tblInd w:w="1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2"/>
        <w:gridCol w:w="3873"/>
      </w:tblGrid>
      <w:tr w:rsidR="005E607E" w:rsidRPr="00546A0B" w14:paraId="7682B82E" w14:textId="77777777" w:rsidTr="00556859"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E6C713" w14:textId="77777777" w:rsidR="005E607E" w:rsidRPr="00546A0B" w:rsidRDefault="005E607E" w:rsidP="00CE00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DIMENSIÓN DEL BIENESTAR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6FE70A" w14:textId="77777777" w:rsidR="005E607E" w:rsidRPr="00546A0B" w:rsidRDefault="005E607E" w:rsidP="00CE00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SE REFIERE: 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4CFF3AE1" w14:textId="77777777" w:rsidR="005E607E" w:rsidRPr="00546A0B" w:rsidRDefault="005E607E" w:rsidP="00CE00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E607E" w:rsidRPr="00546A0B" w14:paraId="047F1520" w14:textId="77777777" w:rsidTr="00556859"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E0B2E0" w14:textId="77777777" w:rsidR="005E607E" w:rsidRPr="00546A0B" w:rsidRDefault="005E607E" w:rsidP="00CE00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3B0016" w14:textId="77777777" w:rsidR="005E607E" w:rsidRPr="00546A0B" w:rsidRDefault="005E607E" w:rsidP="00CE00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E607E" w:rsidRPr="00546A0B" w14:paraId="4B5F494E" w14:textId="77777777" w:rsidTr="00556859"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5A2AE5" w14:textId="77777777" w:rsidR="005E607E" w:rsidRPr="00546A0B" w:rsidRDefault="005E607E" w:rsidP="00CE00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1 AUTOCONOCIMIENTO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2C447F" w14:textId="5157F06B" w:rsidR="005E607E" w:rsidRPr="00546A0B" w:rsidRDefault="005E607E" w:rsidP="00CE00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</w:t>
            </w:r>
            <w:r w:rsidR="00F277A9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1</w:t>
            </w: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)  Capacidad de conocernos, entender cuáles son nuestros pensamientos, la relación con las emociones y acciones, cuáles son nuestras fortalezas, limitaciones y potenciales.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0D4C838C" w14:textId="77777777" w:rsidR="005E607E" w:rsidRPr="00546A0B" w:rsidRDefault="005E607E" w:rsidP="00CE00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E607E" w:rsidRPr="00546A0B" w14:paraId="430E1A77" w14:textId="77777777" w:rsidTr="00556859"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8C1F10" w14:textId="77777777" w:rsidR="005E607E" w:rsidRPr="00546A0B" w:rsidRDefault="005E607E" w:rsidP="00CE00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2 AUTORREGULACIÓN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90679B" w14:textId="31ADA3E5" w:rsidR="005E607E" w:rsidRPr="00546A0B" w:rsidRDefault="005E607E" w:rsidP="00CE00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</w:t>
            </w:r>
            <w:r w:rsidR="00CE249C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3</w:t>
            </w: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)  Capacidad para establecer relaciones con otras personas a través de entenderlos, de poder ver sus propias perspectivas y apreciarlas.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19E36107" w14:textId="77777777" w:rsidR="005E607E" w:rsidRPr="00546A0B" w:rsidRDefault="005E607E" w:rsidP="00CE00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E607E" w:rsidRPr="00546A0B" w14:paraId="6A653462" w14:textId="77777777" w:rsidTr="00556859"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1A27AB" w14:textId="77777777" w:rsidR="005E607E" w:rsidRPr="00546A0B" w:rsidRDefault="005E607E" w:rsidP="00CE00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3 EMPATÍA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46E463" w14:textId="293031C3" w:rsidR="005E607E" w:rsidRDefault="005E607E" w:rsidP="00CE0013">
            <w:pPr>
              <w:spacing w:after="0" w:line="240" w:lineRule="auto"/>
              <w:jc w:val="both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</w:t>
            </w:r>
            <w:r w:rsidR="00CE249C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5</w:t>
            </w: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) Tomar decisiones con sentido y que te hagan sentir bien, considerando el bienestar de los demás.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797075D4" w14:textId="4AC3F2D0" w:rsidR="00CE249C" w:rsidRPr="00546A0B" w:rsidRDefault="00CE249C" w:rsidP="00CE00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5E607E" w:rsidRPr="00546A0B" w14:paraId="390740CD" w14:textId="77777777" w:rsidTr="00556859"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782DF" w14:textId="77777777" w:rsidR="005E607E" w:rsidRPr="00546A0B" w:rsidRDefault="005E607E" w:rsidP="00CE00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4 COLABORACIÓN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74BD" w14:textId="45AB52F4" w:rsidR="005E607E" w:rsidRPr="00546A0B" w:rsidRDefault="005E607E" w:rsidP="00CE00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</w:t>
            </w:r>
            <w:r w:rsidR="00CE249C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2</w:t>
            </w: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) Capacidad de regular nuestras emociones para alcanzar una meta en particular.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  <w:p w14:paraId="667F3453" w14:textId="77777777" w:rsidR="005E607E" w:rsidRPr="00546A0B" w:rsidRDefault="005E607E" w:rsidP="00CE00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5E607E" w:rsidRPr="00546A0B" w14:paraId="1B6C3475" w14:textId="77777777" w:rsidTr="00556859"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4DBA7C" w14:textId="77777777" w:rsidR="005E607E" w:rsidRPr="00546A0B" w:rsidRDefault="005E607E" w:rsidP="00CE00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5 AUTONOMÍA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F801DC" w14:textId="05895844" w:rsidR="005E607E" w:rsidRPr="00546A0B" w:rsidRDefault="005E607E" w:rsidP="00CE00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(</w:t>
            </w:r>
            <w:r w:rsidR="00CE249C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4</w:t>
            </w:r>
            <w:r w:rsidRPr="00546A0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MX"/>
              </w:rPr>
              <w:t>) Aprender a escuchar a otros, comunicarnos, resolver conflictos para poder lograr metas en común.</w:t>
            </w:r>
            <w:r w:rsidRPr="00546A0B">
              <w:rPr>
                <w:rFonts w:ascii="Century Gothic" w:eastAsia="Times New Roman" w:hAnsi="Century Gothic" w:cs="Times New Roman"/>
                <w:sz w:val="20"/>
                <w:szCs w:val="20"/>
                <w:lang w:eastAsia="es-MX"/>
              </w:rPr>
              <w:t> </w:t>
            </w:r>
          </w:p>
        </w:tc>
      </w:tr>
    </w:tbl>
    <w:p w14:paraId="05BE7B86" w14:textId="77777777" w:rsidR="00556859" w:rsidRDefault="00556859" w:rsidP="005E607E">
      <w:pPr>
        <w:spacing w:after="0" w:line="240" w:lineRule="auto"/>
        <w:ind w:left="1080"/>
        <w:jc w:val="both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</w:p>
    <w:p w14:paraId="212536AF" w14:textId="366CC496" w:rsidR="005E607E" w:rsidRPr="00546A0B" w:rsidRDefault="005E607E" w:rsidP="005E607E">
      <w:pPr>
        <w:spacing w:after="0" w:line="240" w:lineRule="auto"/>
        <w:ind w:left="108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2BAFAAAC" w14:textId="77777777" w:rsidR="005E607E" w:rsidRDefault="005E607E" w:rsidP="005E607E">
      <w:pPr>
        <w:numPr>
          <w:ilvl w:val="0"/>
          <w:numId w:val="5"/>
        </w:numPr>
        <w:spacing w:after="0" w:line="240" w:lineRule="auto"/>
        <w:textAlignment w:val="baseline"/>
        <w:rPr>
          <w:rFonts w:ascii="Century Gothic" w:eastAsia="Times New Roman" w:hAnsi="Century Gothic" w:cs="Segoe UI"/>
          <w:sz w:val="24"/>
          <w:szCs w:val="24"/>
          <w:lang w:eastAsia="es-MX"/>
        </w:rPr>
      </w:pPr>
      <w:r w:rsidRPr="00546A0B">
        <w:rPr>
          <w:rFonts w:ascii="Century Gothic" w:eastAsia="Times New Roman" w:hAnsi="Century Gothic" w:cs="Segoe UI"/>
          <w:b/>
          <w:bCs/>
          <w:sz w:val="24"/>
          <w:szCs w:val="24"/>
          <w:lang w:eastAsia="es-MX"/>
        </w:rPr>
        <w:lastRenderedPageBreak/>
        <w:t>¿Qué pasos debes seguir para regular tus emociones?</w:t>
      </w:r>
      <w:r w:rsidRPr="00546A0B">
        <w:rPr>
          <w:rFonts w:ascii="Century Gothic" w:eastAsia="Times New Roman" w:hAnsi="Century Gothic" w:cs="Segoe UI"/>
          <w:sz w:val="24"/>
          <w:szCs w:val="24"/>
          <w:lang w:eastAsia="es-MX"/>
        </w:rPr>
        <w:t> </w:t>
      </w:r>
    </w:p>
    <w:p w14:paraId="5BCE84C3" w14:textId="21532AC6" w:rsidR="00C4024B" w:rsidRPr="00FF028E" w:rsidRDefault="00FF028E" w:rsidP="00C4024B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F028E">
        <w:rPr>
          <w:rFonts w:ascii="Arial" w:hAnsi="Arial" w:cs="Arial"/>
          <w:sz w:val="24"/>
          <w:szCs w:val="24"/>
        </w:rPr>
        <w:t xml:space="preserve">Expreso como me siento y reconozco como la emoción </w:t>
      </w:r>
    </w:p>
    <w:p w14:paraId="0E9CB8B6" w14:textId="41D4E3B4" w:rsidR="00FF028E" w:rsidRPr="00FF028E" w:rsidRDefault="00FF028E" w:rsidP="00C4024B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F028E">
        <w:rPr>
          <w:rFonts w:ascii="Arial" w:hAnsi="Arial" w:cs="Arial"/>
          <w:sz w:val="24"/>
          <w:szCs w:val="24"/>
        </w:rPr>
        <w:t>Guardo la calma y respiro antes de actuar</w:t>
      </w:r>
    </w:p>
    <w:p w14:paraId="1F3043F0" w14:textId="03016C1D" w:rsidR="00FF028E" w:rsidRPr="00FF028E" w:rsidRDefault="00FF028E" w:rsidP="00C4024B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F028E">
        <w:rPr>
          <w:rFonts w:ascii="Arial" w:hAnsi="Arial" w:cs="Arial"/>
          <w:sz w:val="24"/>
          <w:szCs w:val="24"/>
        </w:rPr>
        <w:t xml:space="preserve">Pienso en alternativas positivas y sus consecuencias </w:t>
      </w:r>
    </w:p>
    <w:p w14:paraId="689D4191" w14:textId="1C2D29F6" w:rsidR="00FF028E" w:rsidRPr="00FF028E" w:rsidRDefault="00FF028E" w:rsidP="00C4024B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F028E">
        <w:rPr>
          <w:rFonts w:ascii="Arial" w:hAnsi="Arial" w:cs="Arial"/>
          <w:sz w:val="24"/>
          <w:szCs w:val="24"/>
        </w:rPr>
        <w:t>Decido y actúo con el mejor plan</w:t>
      </w:r>
    </w:p>
    <w:sectPr w:rsidR="00FF028E" w:rsidRPr="00FF02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211A2"/>
    <w:multiLevelType w:val="multilevel"/>
    <w:tmpl w:val="378AF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059D3"/>
    <w:multiLevelType w:val="hybridMultilevel"/>
    <w:tmpl w:val="98744400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72E51B0"/>
    <w:multiLevelType w:val="multilevel"/>
    <w:tmpl w:val="434A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5579DB"/>
    <w:multiLevelType w:val="multilevel"/>
    <w:tmpl w:val="468E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5522EB"/>
    <w:multiLevelType w:val="hybridMultilevel"/>
    <w:tmpl w:val="C7E4ECF4"/>
    <w:lvl w:ilvl="0" w:tplc="6B2856E4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Segoe UI" w:hint="default"/>
        <w:b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973B15"/>
    <w:multiLevelType w:val="multilevel"/>
    <w:tmpl w:val="B758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5C2B6A"/>
    <w:multiLevelType w:val="hybridMultilevel"/>
    <w:tmpl w:val="723263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725"/>
    <w:rsid w:val="0005040B"/>
    <w:rsid w:val="00136692"/>
    <w:rsid w:val="00556859"/>
    <w:rsid w:val="005E607E"/>
    <w:rsid w:val="00615725"/>
    <w:rsid w:val="00C4024B"/>
    <w:rsid w:val="00CE249C"/>
    <w:rsid w:val="00F277A9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CD80E"/>
  <w15:chartTrackingRefBased/>
  <w15:docId w15:val="{C1A23E21-F1F0-4DFE-8955-FFC4B1EF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5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3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lopez ramirez</dc:creator>
  <cp:keywords/>
  <dc:description/>
  <cp:lastModifiedBy>yesica lopez ramirez</cp:lastModifiedBy>
  <cp:revision>1</cp:revision>
  <dcterms:created xsi:type="dcterms:W3CDTF">2021-03-08T01:17:00Z</dcterms:created>
  <dcterms:modified xsi:type="dcterms:W3CDTF">2021-03-08T21:02:00Z</dcterms:modified>
</cp:coreProperties>
</file>