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21F0" w14:textId="77777777" w:rsidR="00045449" w:rsidRDefault="00045449" w:rsidP="00045449">
      <w:r>
        <w:t>Utiliza las dimensiones para vincular los aspectos sociales con los escolares a</w:t>
      </w:r>
    </w:p>
    <w:p w14:paraId="2415BAFF" w14:textId="77777777" w:rsidR="00045449" w:rsidRDefault="00045449" w:rsidP="00045449">
      <w:r>
        <w:t>través de preguntas detonadoras: ¿Cómo es que se expresan estas</w:t>
      </w:r>
    </w:p>
    <w:p w14:paraId="70B39510" w14:textId="6546D1FF" w:rsidR="00045449" w:rsidRDefault="00045449" w:rsidP="00045449">
      <w:r>
        <w:t>dimensiones en la escuela?, ¿De qué manera sobre determinan los vínculos</w:t>
      </w:r>
    </w:p>
    <w:p w14:paraId="346A6B24" w14:textId="77777777" w:rsidR="00045449" w:rsidRDefault="00045449" w:rsidP="00045449">
      <w:r>
        <w:t>entre la sociedad, la comunidad y la escuela?, ¿En qué tipo de prácticas se</w:t>
      </w:r>
    </w:p>
    <w:p w14:paraId="719D264E" w14:textId="77777777" w:rsidR="00045449" w:rsidRDefault="00045449" w:rsidP="00045449">
      <w:r>
        <w:t>expresan?, ¿cómo es que el jardín de niños reconoce y se relaciona con la</w:t>
      </w:r>
    </w:p>
    <w:p w14:paraId="34D3838F" w14:textId="77777777" w:rsidR="00045449" w:rsidRDefault="00045449" w:rsidP="00045449">
      <w:r>
        <w:t>comunidad y viceversa?</w:t>
      </w:r>
    </w:p>
    <w:p w14:paraId="316ADD4A" w14:textId="77777777" w:rsidR="00045449" w:rsidRDefault="00045449" w:rsidP="00045449">
      <w:r>
        <w:t>Los estudiantes, con base en la información, elaboran en equipo un</w:t>
      </w:r>
    </w:p>
    <w:p w14:paraId="6BB83FA4" w14:textId="77777777" w:rsidR="00045449" w:rsidRDefault="00045449" w:rsidP="00045449">
      <w:r>
        <w:t>concentrado de las respuestas y una representación gráfica que permita</w:t>
      </w:r>
    </w:p>
    <w:p w14:paraId="166E55AA" w14:textId="77777777" w:rsidR="00045449" w:rsidRDefault="00045449" w:rsidP="00045449">
      <w:r>
        <w:t>evidenciar los vínculos del jardín de niños y la comunidad a partir de las</w:t>
      </w:r>
    </w:p>
    <w:p w14:paraId="21D92191" w14:textId="77777777" w:rsidR="00045449" w:rsidRDefault="00045449" w:rsidP="00045449">
      <w:r>
        <w:t>dimensiones.</w:t>
      </w:r>
    </w:p>
    <w:p w14:paraId="167DBDC7" w14:textId="5768C97D" w:rsidR="00045449" w:rsidRDefault="00045449" w:rsidP="00045449">
      <w:r>
        <w:t>Dimensiones</w:t>
      </w:r>
      <w:r w:rsidR="00956655">
        <w:t xml:space="preserve">                                   </w:t>
      </w:r>
      <w:r>
        <w:t xml:space="preserve"> Comunidad </w:t>
      </w:r>
      <w:r w:rsidR="00956655">
        <w:t xml:space="preserve">                                                                     </w:t>
      </w:r>
      <w:r>
        <w:t>Escuela</w:t>
      </w:r>
    </w:p>
    <w:tbl>
      <w:tblPr>
        <w:tblW w:w="1017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956655" w14:paraId="58E394D7" w14:textId="1ED7906D" w:rsidTr="00956655">
        <w:trPr>
          <w:trHeight w:val="360"/>
        </w:trPr>
        <w:tc>
          <w:tcPr>
            <w:tcW w:w="2595" w:type="dxa"/>
          </w:tcPr>
          <w:p w14:paraId="0E33516C" w14:textId="77777777" w:rsidR="00956655" w:rsidRDefault="00956655" w:rsidP="00956655">
            <w:r>
              <w:t>Social</w:t>
            </w:r>
          </w:p>
          <w:p w14:paraId="3BA58B73" w14:textId="77777777" w:rsidR="00956655" w:rsidRDefault="00956655" w:rsidP="00956655"/>
        </w:tc>
        <w:tc>
          <w:tcPr>
            <w:tcW w:w="3780" w:type="dxa"/>
          </w:tcPr>
          <w:p w14:paraId="1FFC4292" w14:textId="13D8A471" w:rsidR="00956655" w:rsidRDefault="00096596" w:rsidP="00F3759D">
            <w:pPr>
              <w:jc w:val="both"/>
            </w:pPr>
            <w:r>
              <w:t>Se refiere al relacionarse con otras personas, el poder comunicarse y ser empáticos.</w:t>
            </w:r>
          </w:p>
          <w:p w14:paraId="6F761478" w14:textId="77777777" w:rsidR="00956655" w:rsidRDefault="00956655" w:rsidP="00F3759D">
            <w:pPr>
              <w:jc w:val="both"/>
            </w:pPr>
          </w:p>
        </w:tc>
        <w:tc>
          <w:tcPr>
            <w:tcW w:w="3795" w:type="dxa"/>
          </w:tcPr>
          <w:p w14:paraId="1295C7A7" w14:textId="43048419" w:rsidR="00956655" w:rsidRDefault="00F3759D" w:rsidP="00F3759D">
            <w:pPr>
              <w:jc w:val="both"/>
            </w:pPr>
            <w:r>
              <w:t>Decisiones de los maestros sobre prácticas ante la diversidad de condiciones diferentes, que colocan a sus alumnos en posiciones distintas frente a la experiencia social.</w:t>
            </w:r>
          </w:p>
          <w:p w14:paraId="4ECC66EF" w14:textId="77777777" w:rsidR="00956655" w:rsidRDefault="00956655" w:rsidP="00F3759D">
            <w:pPr>
              <w:jc w:val="both"/>
            </w:pPr>
          </w:p>
        </w:tc>
      </w:tr>
      <w:tr w:rsidR="00956655" w14:paraId="269F2FAE" w14:textId="430507C0" w:rsidTr="00956655">
        <w:trPr>
          <w:trHeight w:val="345"/>
        </w:trPr>
        <w:tc>
          <w:tcPr>
            <w:tcW w:w="2595" w:type="dxa"/>
          </w:tcPr>
          <w:p w14:paraId="15422C03" w14:textId="4DA7482C" w:rsidR="00956655" w:rsidRDefault="00956655" w:rsidP="00956655">
            <w:pPr>
              <w:ind w:left="126"/>
            </w:pPr>
            <w:r>
              <w:t>Valoral</w:t>
            </w:r>
          </w:p>
        </w:tc>
        <w:tc>
          <w:tcPr>
            <w:tcW w:w="3780" w:type="dxa"/>
          </w:tcPr>
          <w:p w14:paraId="3E46C8E2" w14:textId="616CAE62" w:rsidR="00956655" w:rsidRDefault="00740D8F" w:rsidP="00740D8F">
            <w:pPr>
              <w:jc w:val="both"/>
            </w:pPr>
            <w:r>
              <w:t>Se trata de poner en práctica todos aquellos valores que se fomentan al ser humano.</w:t>
            </w:r>
          </w:p>
        </w:tc>
        <w:tc>
          <w:tcPr>
            <w:tcW w:w="3795" w:type="dxa"/>
          </w:tcPr>
          <w:p w14:paraId="33072F9C" w14:textId="079FF068" w:rsidR="00956655" w:rsidRDefault="00F3759D" w:rsidP="00740D8F">
            <w:pPr>
              <w:jc w:val="both"/>
            </w:pPr>
            <w:r>
              <w:t>L</w:t>
            </w:r>
            <w:r w:rsidRPr="00F3759D">
              <w:t>a práctica del docente da cuenta de sus creencias, ideas, referentes teóricos y valores personales, que se expresan en sus preferencias conscientes e inconscientes, en sus actitudes y sus juicios de valor</w:t>
            </w:r>
            <w:r>
              <w:t>.</w:t>
            </w:r>
          </w:p>
        </w:tc>
      </w:tr>
      <w:tr w:rsidR="00956655" w14:paraId="38D8754C" w14:textId="1AAAC9AE" w:rsidTr="00956655">
        <w:trPr>
          <w:trHeight w:val="540"/>
        </w:trPr>
        <w:tc>
          <w:tcPr>
            <w:tcW w:w="2595" w:type="dxa"/>
          </w:tcPr>
          <w:p w14:paraId="3F22E5D8" w14:textId="7947AC3B" w:rsidR="00956655" w:rsidRDefault="00956655" w:rsidP="00956655">
            <w:pPr>
              <w:ind w:left="126"/>
            </w:pPr>
            <w:r>
              <w:t>Cultural</w:t>
            </w:r>
          </w:p>
        </w:tc>
        <w:tc>
          <w:tcPr>
            <w:tcW w:w="3780" w:type="dxa"/>
          </w:tcPr>
          <w:p w14:paraId="04248EEC" w14:textId="4CB3D257" w:rsidR="00956655" w:rsidRDefault="00CE5A50" w:rsidP="00740D8F">
            <w:pPr>
              <w:jc w:val="both"/>
            </w:pPr>
            <w:r w:rsidRPr="00CE5A50">
              <w:t xml:space="preserve">Se trata aquí, del conjunto concreto de creencias, conocimientos, prácticas, costumbres, normas, técnicas, </w:t>
            </w:r>
            <w:proofErr w:type="spellStart"/>
            <w:proofErr w:type="gramStart"/>
            <w:r w:rsidRPr="00CE5A50">
              <w:t>etc</w:t>
            </w:r>
            <w:proofErr w:type="spellEnd"/>
            <w:r w:rsidR="00F27CC2">
              <w:t xml:space="preserve"> </w:t>
            </w:r>
            <w:r w:rsidRPr="00CE5A50">
              <w:t>,</w:t>
            </w:r>
            <w:proofErr w:type="gramEnd"/>
            <w:r w:rsidRPr="00CE5A50">
              <w:t xml:space="preserve"> que es propio de tal o cual grupo humano o sociedad.</w:t>
            </w:r>
          </w:p>
        </w:tc>
        <w:tc>
          <w:tcPr>
            <w:tcW w:w="3795" w:type="dxa"/>
          </w:tcPr>
          <w:p w14:paraId="2507EB15" w14:textId="22EFD683" w:rsidR="00956655" w:rsidRDefault="009A5A55" w:rsidP="00740D8F">
            <w:pPr>
              <w:jc w:val="both"/>
            </w:pPr>
            <w:r>
              <w:t>A</w:t>
            </w:r>
            <w:r w:rsidR="00F27CC2" w:rsidRPr="00F27CC2">
              <w:t>naliza la relación entre la educación, la cultura y el desarrollo humano mediante la capacidad integradora de la educación, la valorización de la interculturalidad, la diversidad cultural y la creatividad</w:t>
            </w:r>
            <w:r w:rsidR="00F27CC2">
              <w:t>.</w:t>
            </w:r>
          </w:p>
        </w:tc>
      </w:tr>
      <w:tr w:rsidR="00956655" w14:paraId="51CA6B07" w14:textId="002848BF" w:rsidTr="00956655">
        <w:trPr>
          <w:trHeight w:val="494"/>
        </w:trPr>
        <w:tc>
          <w:tcPr>
            <w:tcW w:w="2595" w:type="dxa"/>
          </w:tcPr>
          <w:p w14:paraId="23AD7E13" w14:textId="66FB5F4A" w:rsidR="00956655" w:rsidRDefault="00956655" w:rsidP="00956655">
            <w:pPr>
              <w:ind w:left="126"/>
            </w:pPr>
            <w:r>
              <w:t>Ideológica</w:t>
            </w:r>
          </w:p>
        </w:tc>
        <w:tc>
          <w:tcPr>
            <w:tcW w:w="3780" w:type="dxa"/>
          </w:tcPr>
          <w:p w14:paraId="3F1A5284" w14:textId="66A4E98C" w:rsidR="00956655" w:rsidRDefault="00F27CC2" w:rsidP="00740D8F">
            <w:pPr>
              <w:jc w:val="both"/>
            </w:pPr>
            <w:r>
              <w:t>A</w:t>
            </w:r>
            <w:r w:rsidRPr="00F27CC2">
              <w:t>barca desde las creencias que las personas tienen, como por ejemplo a que religión pertenecen, los rituales que conllevan en la comunidad.</w:t>
            </w:r>
          </w:p>
        </w:tc>
        <w:tc>
          <w:tcPr>
            <w:tcW w:w="3795" w:type="dxa"/>
          </w:tcPr>
          <w:p w14:paraId="247B6D27" w14:textId="77777777" w:rsidR="00956655" w:rsidRDefault="00956655" w:rsidP="00740D8F">
            <w:pPr>
              <w:jc w:val="both"/>
            </w:pPr>
          </w:p>
        </w:tc>
      </w:tr>
      <w:tr w:rsidR="00956655" w14:paraId="07396280" w14:textId="293F52A8" w:rsidTr="00956655">
        <w:trPr>
          <w:trHeight w:val="569"/>
        </w:trPr>
        <w:tc>
          <w:tcPr>
            <w:tcW w:w="2595" w:type="dxa"/>
          </w:tcPr>
          <w:p w14:paraId="5ACD0B5A" w14:textId="5FDECD61" w:rsidR="00956655" w:rsidRDefault="00956655" w:rsidP="00956655">
            <w:pPr>
              <w:ind w:left="126"/>
            </w:pPr>
            <w:r>
              <w:t>Personal</w:t>
            </w:r>
          </w:p>
        </w:tc>
        <w:tc>
          <w:tcPr>
            <w:tcW w:w="3780" w:type="dxa"/>
          </w:tcPr>
          <w:p w14:paraId="149DFFE9" w14:textId="3742C275" w:rsidR="00956655" w:rsidRDefault="009A5A55" w:rsidP="00740D8F">
            <w:pPr>
              <w:jc w:val="both"/>
            </w:pPr>
            <w:r>
              <w:t>L</w:t>
            </w:r>
            <w:r w:rsidRPr="009A5A55">
              <w:t xml:space="preserve">a dimensión interpersonal se refiere al trato entre las personas o individuos </w:t>
            </w:r>
            <w:r w:rsidRPr="009A5A55">
              <w:lastRenderedPageBreak/>
              <w:t xml:space="preserve">(todos en general) que se encuentran conviviendo dentro del entorno </w:t>
            </w:r>
            <w:proofErr w:type="gramStart"/>
            <w:r w:rsidRPr="009A5A55">
              <w:t>escolar .</w:t>
            </w:r>
            <w:proofErr w:type="gramEnd"/>
          </w:p>
        </w:tc>
        <w:tc>
          <w:tcPr>
            <w:tcW w:w="3795" w:type="dxa"/>
          </w:tcPr>
          <w:p w14:paraId="7D52C268" w14:textId="5E419A12" w:rsidR="00956655" w:rsidRDefault="009A5A55" w:rsidP="00740D8F">
            <w:pPr>
              <w:jc w:val="both"/>
            </w:pPr>
            <w:r>
              <w:lastRenderedPageBreak/>
              <w:t xml:space="preserve">Se le invita al maestro a reflexionar sobre el propio hacer desde la perspectiva partículas que cada uno le imparte como </w:t>
            </w:r>
            <w:r>
              <w:lastRenderedPageBreak/>
              <w:t>sujeto histórico, capaz de analizar su pasado, resignar su presente y construir su futuro.</w:t>
            </w:r>
          </w:p>
        </w:tc>
      </w:tr>
      <w:tr w:rsidR="00956655" w14:paraId="52212C23" w14:textId="277A407A" w:rsidTr="00956655">
        <w:trPr>
          <w:trHeight w:val="1275"/>
        </w:trPr>
        <w:tc>
          <w:tcPr>
            <w:tcW w:w="2595" w:type="dxa"/>
          </w:tcPr>
          <w:p w14:paraId="43C75BFF" w14:textId="7D7744BB" w:rsidR="00956655" w:rsidRDefault="00956655" w:rsidP="00956655">
            <w:pPr>
              <w:ind w:left="126"/>
            </w:pPr>
            <w:r>
              <w:lastRenderedPageBreak/>
              <w:t>Pedagógica</w:t>
            </w:r>
          </w:p>
        </w:tc>
        <w:tc>
          <w:tcPr>
            <w:tcW w:w="3780" w:type="dxa"/>
          </w:tcPr>
          <w:p w14:paraId="235E1964" w14:textId="13A99290" w:rsidR="00956655" w:rsidRDefault="009A5A55" w:rsidP="00740D8F">
            <w:pPr>
              <w:jc w:val="both"/>
            </w:pPr>
            <w:r>
              <w:t>E</w:t>
            </w:r>
            <w:r w:rsidRPr="009A5A55">
              <w:t>videncia donde se encuentran los nudos de tensión y los problemas de la práctica, así como sus fortalezas. Permite entender la complejidad de la práctica como resultado de las múltiples interacciones que la conforman</w:t>
            </w:r>
          </w:p>
        </w:tc>
        <w:tc>
          <w:tcPr>
            <w:tcW w:w="3795" w:type="dxa"/>
          </w:tcPr>
          <w:p w14:paraId="180851AE" w14:textId="0EBBDFCD" w:rsidR="00956655" w:rsidRDefault="009A5A55" w:rsidP="00740D8F">
            <w:pPr>
              <w:jc w:val="both"/>
            </w:pPr>
            <w:r>
              <w:t>S</w:t>
            </w:r>
            <w:r w:rsidRPr="009A5A55">
              <w:t>ostiene el plan y programas que utilizan los maestros como guías las reuniones que tienen con el directivo para poder establecer nuevas formas didácticas de enseñanza para resolver problemas en equipo.</w:t>
            </w:r>
          </w:p>
        </w:tc>
      </w:tr>
      <w:tr w:rsidR="00956655" w14:paraId="4ED9834B" w14:textId="2E31718C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4B8" w14:textId="77777777" w:rsidR="00956655" w:rsidRDefault="00956655" w:rsidP="00956655">
            <w:r>
              <w:t>Lingüística</w:t>
            </w:r>
          </w:p>
          <w:p w14:paraId="67F22099" w14:textId="77777777" w:rsidR="00956655" w:rsidRDefault="00956655" w:rsidP="00956655"/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14:paraId="2AD294EA" w14:textId="492AADA9" w:rsidR="00956655" w:rsidRDefault="003E1656" w:rsidP="00740D8F">
            <w:pPr>
              <w:jc w:val="both"/>
            </w:pPr>
            <w:r>
              <w:t>E</w:t>
            </w:r>
            <w:r w:rsidRPr="003E1656">
              <w:t>s la capacidad del ser humano de relacionarse consigo mismo y con los otros mediante el uso del lenguaje, constituido este por signos y símbolos, y soportada por la interacción de elementos biológicos, del entorno y de la relación con los otros.</w:t>
            </w:r>
          </w:p>
          <w:p w14:paraId="3C8A9067" w14:textId="77777777" w:rsidR="00956655" w:rsidRDefault="00956655" w:rsidP="00740D8F">
            <w:pPr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6B1" w14:textId="6512B9AF" w:rsidR="00956655" w:rsidRDefault="003E1656" w:rsidP="00740D8F">
            <w:pPr>
              <w:jc w:val="both"/>
            </w:pPr>
            <w:r>
              <w:t>A</w:t>
            </w:r>
            <w:r w:rsidRPr="003E1656">
              <w:t xml:space="preserve">lude al problema del lenguaje, particularmente del lenguaje técnico. En la relación educativa, sobre todo en el nivel superior, el lenguaje disciplinar, el que se </w:t>
            </w:r>
            <w:proofErr w:type="gramStart"/>
            <w:r w:rsidRPr="003E1656">
              <w:t>acostumbrar</w:t>
            </w:r>
            <w:proofErr w:type="gramEnd"/>
            <w:r w:rsidRPr="003E1656">
              <w:t xml:space="preserve"> usar en cada campo profesional y científico, es un código nuevo para los estudiantes.</w:t>
            </w:r>
          </w:p>
          <w:p w14:paraId="39DDCC45" w14:textId="77777777" w:rsidR="00956655" w:rsidRDefault="00956655" w:rsidP="00740D8F">
            <w:pPr>
              <w:jc w:val="both"/>
            </w:pPr>
          </w:p>
        </w:tc>
      </w:tr>
      <w:tr w:rsidR="00956655" w14:paraId="1477FB4E" w14:textId="77777777" w:rsidTr="009566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1DE21C" w14:textId="77777777" w:rsidR="00956655" w:rsidRDefault="00956655" w:rsidP="00956655"/>
        </w:tc>
      </w:tr>
    </w:tbl>
    <w:p w14:paraId="60CBADA4" w14:textId="626A6B03" w:rsidR="00082701" w:rsidRDefault="001623DC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96596"/>
    <w:rsid w:val="000F1CC5"/>
    <w:rsid w:val="003E1656"/>
    <w:rsid w:val="00740D8F"/>
    <w:rsid w:val="00956655"/>
    <w:rsid w:val="009A5A55"/>
    <w:rsid w:val="00AD633A"/>
    <w:rsid w:val="00C3632F"/>
    <w:rsid w:val="00CE5A50"/>
    <w:rsid w:val="00F27CC2"/>
    <w:rsid w:val="00F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5" ma:contentTypeDescription="Create a new document." ma:contentTypeScope="" ma:versionID="ab63bc0e0b2f13d7214e6bde75638740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621eb42272c914970e2dc01d8558c5f2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2EF0B-2E11-40EB-A144-E9A6DA1F1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B5DDD-4176-4641-AB7A-E4CAF3769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23D68-4D58-44D1-A2BA-7AD93CC8242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5c74136-c9eb-482d-89e8-c9f8eff8addb"/>
    <ds:schemaRef ds:uri="http://purl.org/dc/terms/"/>
    <ds:schemaRef ds:uri="9fe3f1fd-8be7-42a4-b29f-5bb7a15aa51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Natalia Guevara</cp:lastModifiedBy>
  <cp:revision>2</cp:revision>
  <dcterms:created xsi:type="dcterms:W3CDTF">2021-03-09T04:13:00Z</dcterms:created>
  <dcterms:modified xsi:type="dcterms:W3CDTF">2021-03-09T04:13:00Z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