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D51AE" w14:textId="77777777" w:rsidR="009B5EBE" w:rsidRPr="007D6871" w:rsidRDefault="009B5EBE" w:rsidP="009B5EBE">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2CB0F9C1" wp14:editId="1C6A3E54">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012356FB" w14:textId="77777777" w:rsidR="009B5EBE" w:rsidRPr="007D6871" w:rsidRDefault="009B5EBE" w:rsidP="009B5EBE">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43CC9BB2" w14:textId="77777777" w:rsidR="009B5EBE" w:rsidRPr="007D6871" w:rsidRDefault="009B5EBE" w:rsidP="009B5EBE">
      <w:pPr>
        <w:jc w:val="center"/>
        <w:rPr>
          <w:rFonts w:ascii="Times New Roman" w:hAnsi="Times New Roman" w:cs="Times New Roman"/>
          <w:sz w:val="44"/>
          <w:szCs w:val="44"/>
        </w:rPr>
      </w:pPr>
    </w:p>
    <w:p w14:paraId="1B7DE491" w14:textId="56181D63" w:rsidR="009B5EBE" w:rsidRPr="007D6871" w:rsidRDefault="009B5EBE" w:rsidP="009B5EBE">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LECTURA DE</w:t>
      </w:r>
      <w:r>
        <w:rPr>
          <w:rFonts w:ascii="Times New Roman" w:hAnsi="Times New Roman" w:cs="Times New Roman"/>
          <w:b/>
          <w:bCs/>
          <w:i/>
          <w:iCs/>
          <w:sz w:val="44"/>
          <w:szCs w:val="44"/>
          <w:u w:val="single"/>
        </w:rPr>
        <w:t xml:space="preserve"> GARRITZ</w:t>
      </w:r>
    </w:p>
    <w:p w14:paraId="47B65901" w14:textId="77777777" w:rsidR="009B5EBE" w:rsidRPr="007D6871" w:rsidRDefault="009B5EBE" w:rsidP="009B5EBE">
      <w:pPr>
        <w:jc w:val="center"/>
        <w:rPr>
          <w:rFonts w:ascii="Times New Roman" w:hAnsi="Times New Roman" w:cs="Times New Roman"/>
          <w:sz w:val="44"/>
          <w:szCs w:val="44"/>
        </w:rPr>
      </w:pPr>
    </w:p>
    <w:p w14:paraId="39815C65" w14:textId="77777777" w:rsidR="009B5EBE" w:rsidRPr="007D6871" w:rsidRDefault="009B5EBE" w:rsidP="009B5EBE">
      <w:pPr>
        <w:jc w:val="center"/>
        <w:rPr>
          <w:rFonts w:ascii="Times New Roman" w:hAnsi="Times New Roman" w:cs="Times New Roman"/>
          <w:sz w:val="44"/>
          <w:szCs w:val="44"/>
        </w:rPr>
      </w:pPr>
      <w:r>
        <w:rPr>
          <w:rFonts w:ascii="Times New Roman" w:hAnsi="Times New Roman" w:cs="Times New Roman"/>
          <w:sz w:val="44"/>
          <w:szCs w:val="44"/>
        </w:rPr>
        <w:t>ESTRATEGIAS PARA LA EXPLORACIÓN DEL MUNDO NATURAL</w:t>
      </w:r>
    </w:p>
    <w:p w14:paraId="32C27126" w14:textId="77777777" w:rsidR="009B5EBE" w:rsidRPr="007D6871" w:rsidRDefault="009B5EBE" w:rsidP="009B5EBE">
      <w:pPr>
        <w:jc w:val="center"/>
        <w:rPr>
          <w:rFonts w:ascii="Times New Roman" w:hAnsi="Times New Roman" w:cs="Times New Roman"/>
          <w:sz w:val="44"/>
          <w:szCs w:val="44"/>
        </w:rPr>
      </w:pPr>
    </w:p>
    <w:p w14:paraId="687B8C34" w14:textId="77777777" w:rsidR="009B5EBE" w:rsidRPr="007D6871" w:rsidRDefault="009B5EBE" w:rsidP="009B5EBE">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r>
        <w:rPr>
          <w:rFonts w:ascii="Times New Roman" w:hAnsi="Times New Roman" w:cs="Times New Roman"/>
          <w:sz w:val="44"/>
          <w:szCs w:val="44"/>
        </w:rPr>
        <w:t>ROSA VELIA DEL RIO TIJERINA</w:t>
      </w:r>
    </w:p>
    <w:p w14:paraId="66BE9914" w14:textId="77777777" w:rsidR="009B5EBE" w:rsidRPr="007D6871" w:rsidRDefault="009B5EBE" w:rsidP="009B5EBE">
      <w:pPr>
        <w:jc w:val="center"/>
        <w:rPr>
          <w:rFonts w:ascii="Times New Roman" w:hAnsi="Times New Roman" w:cs="Times New Roman"/>
          <w:sz w:val="44"/>
          <w:szCs w:val="44"/>
        </w:rPr>
      </w:pPr>
    </w:p>
    <w:p w14:paraId="39038D93" w14:textId="77777777" w:rsidR="009B5EBE" w:rsidRPr="007D6871" w:rsidRDefault="009B5EBE" w:rsidP="009B5EBE">
      <w:pPr>
        <w:jc w:val="center"/>
        <w:rPr>
          <w:rFonts w:ascii="Times New Roman" w:hAnsi="Times New Roman" w:cs="Times New Roman"/>
          <w:sz w:val="44"/>
          <w:szCs w:val="44"/>
        </w:rPr>
      </w:pPr>
    </w:p>
    <w:p w14:paraId="585B1D2A" w14:textId="77777777" w:rsidR="009B5EBE" w:rsidRPr="007D6871" w:rsidRDefault="009B5EBE" w:rsidP="009B5EBE">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3A7AA927" w14:textId="77777777" w:rsidR="009B5EBE" w:rsidRPr="007D6871" w:rsidRDefault="009B5EBE" w:rsidP="009B5EBE">
      <w:pPr>
        <w:jc w:val="center"/>
        <w:rPr>
          <w:rFonts w:ascii="Times New Roman" w:hAnsi="Times New Roman" w:cs="Times New Roman"/>
          <w:sz w:val="44"/>
          <w:szCs w:val="44"/>
        </w:rPr>
      </w:pPr>
    </w:p>
    <w:p w14:paraId="0EB80F4B" w14:textId="77777777" w:rsidR="009B5EBE" w:rsidRPr="007D6871" w:rsidRDefault="009B5EBE" w:rsidP="009B5EBE">
      <w:pPr>
        <w:jc w:val="center"/>
        <w:rPr>
          <w:rFonts w:ascii="Times New Roman" w:hAnsi="Times New Roman" w:cs="Times New Roman"/>
          <w:sz w:val="44"/>
          <w:szCs w:val="44"/>
        </w:rPr>
      </w:pP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N° 19</w:t>
      </w:r>
    </w:p>
    <w:p w14:paraId="462F66B8" w14:textId="77777777" w:rsidR="009B5EBE" w:rsidRPr="007D6871" w:rsidRDefault="009B5EBE" w:rsidP="009B5EBE">
      <w:pPr>
        <w:jc w:val="center"/>
        <w:rPr>
          <w:rFonts w:ascii="Times New Roman" w:hAnsi="Times New Roman" w:cs="Times New Roman"/>
          <w:sz w:val="44"/>
          <w:szCs w:val="44"/>
        </w:rPr>
      </w:pPr>
    </w:p>
    <w:p w14:paraId="23847CB5" w14:textId="339A4887" w:rsidR="009B5EBE" w:rsidRDefault="009B5EBE" w:rsidP="009B5EBE">
      <w:pPr>
        <w:jc w:val="right"/>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0288" behindDoc="1" locked="0" layoutInCell="1" allowOverlap="1" wp14:anchorId="32E5CE7E" wp14:editId="352F9788">
            <wp:simplePos x="0" y="0"/>
            <wp:positionH relativeFrom="column">
              <wp:posOffset>-106045</wp:posOffset>
            </wp:positionH>
            <wp:positionV relativeFrom="paragraph">
              <wp:posOffset>-820831</wp:posOffset>
            </wp:positionV>
            <wp:extent cx="1126490" cy="1508125"/>
            <wp:effectExtent l="0" t="0" r="0" b="0"/>
            <wp:wrapTight wrapText="bothSides">
              <wp:wrapPolygon edited="0">
                <wp:start x="2192" y="0"/>
                <wp:lineTo x="0" y="1637"/>
                <wp:lineTo x="0" y="7367"/>
                <wp:lineTo x="1461" y="8731"/>
                <wp:lineTo x="4383" y="13096"/>
                <wp:lineTo x="6210" y="21282"/>
                <wp:lineTo x="13150" y="21282"/>
                <wp:lineTo x="13150" y="17462"/>
                <wp:lineTo x="21186" y="16916"/>
                <wp:lineTo x="21186" y="6548"/>
                <wp:lineTo x="13515" y="4365"/>
                <wp:lineTo x="13515" y="0"/>
                <wp:lineTo x="219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508125"/>
                    </a:xfrm>
                    <a:prstGeom prst="rect">
                      <a:avLst/>
                    </a:prstGeom>
                    <a:noFill/>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sz w:val="36"/>
          <w:szCs w:val="36"/>
        </w:rPr>
        <w:t>1</w:t>
      </w:r>
      <w:r>
        <w:rPr>
          <w:rFonts w:ascii="Times New Roman" w:hAnsi="Times New Roman" w:cs="Times New Roman"/>
          <w:sz w:val="36"/>
          <w:szCs w:val="36"/>
        </w:rPr>
        <w:t>3</w:t>
      </w:r>
      <w:r w:rsidRPr="007D6871">
        <w:rPr>
          <w:rFonts w:ascii="Times New Roman" w:hAnsi="Times New Roman" w:cs="Times New Roman"/>
          <w:sz w:val="36"/>
          <w:szCs w:val="36"/>
        </w:rPr>
        <w:t xml:space="preserve"> DE MARZO DE 2021</w:t>
      </w:r>
    </w:p>
    <w:p w14:paraId="40DD3517" w14:textId="77777777" w:rsidR="009B5EBE" w:rsidRDefault="009B5EBE" w:rsidP="009B5EBE">
      <w:pPr>
        <w:jc w:val="right"/>
        <w:rPr>
          <w:rFonts w:ascii="Times New Roman" w:hAnsi="Times New Roman" w:cs="Times New Roman"/>
          <w:sz w:val="36"/>
          <w:szCs w:val="36"/>
        </w:rPr>
      </w:pPr>
    </w:p>
    <w:p w14:paraId="0877A805" w14:textId="2AD7B769" w:rsidR="009B5EBE" w:rsidRDefault="009B5EBE" w:rsidP="009B5EBE">
      <w:pPr>
        <w:jc w:val="center"/>
      </w:pPr>
      <w:r>
        <w:rPr>
          <w:rFonts w:ascii="Calibri" w:eastAsia="Times New Roman" w:hAnsi="Calibri" w:cs="Times New Roman"/>
          <w:noProof/>
          <w:lang w:val="es-US" w:eastAsia="es-MX"/>
        </w:rPr>
        <w:lastRenderedPageBreak/>
        <w:drawing>
          <wp:inline distT="0" distB="0" distL="0" distR="0" wp14:anchorId="07E6F604" wp14:editId="4278AED3">
            <wp:extent cx="2171700" cy="43004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0661"/>
                    <a:stretch/>
                  </pic:blipFill>
                  <pic:spPr bwMode="auto">
                    <a:xfrm>
                      <a:off x="0" y="0"/>
                      <a:ext cx="2171700" cy="430040"/>
                    </a:xfrm>
                    <a:prstGeom prst="rect">
                      <a:avLst/>
                    </a:prstGeom>
                    <a:noFill/>
                    <a:ln>
                      <a:noFill/>
                    </a:ln>
                    <a:extLst>
                      <a:ext uri="{53640926-AAD7-44D8-BBD7-CCE9431645EC}">
                        <a14:shadowObscured xmlns:a14="http://schemas.microsoft.com/office/drawing/2010/main"/>
                      </a:ext>
                    </a:extLst>
                  </pic:spPr>
                </pic:pic>
              </a:graphicData>
            </a:graphic>
          </wp:inline>
        </w:drawing>
      </w:r>
    </w:p>
    <w:p w14:paraId="30A3FA0F" w14:textId="55C5E2C9" w:rsidR="009B5EBE" w:rsidRPr="006804EC" w:rsidRDefault="009B5EBE" w:rsidP="009B5EBE">
      <w:pPr>
        <w:pStyle w:val="Prrafodelista"/>
        <w:numPr>
          <w:ilvl w:val="0"/>
          <w:numId w:val="1"/>
        </w:numPr>
        <w:rPr>
          <w:sz w:val="28"/>
          <w:szCs w:val="28"/>
        </w:rPr>
      </w:pPr>
      <w:r w:rsidRPr="006804EC">
        <w:rPr>
          <w:sz w:val="28"/>
          <w:szCs w:val="28"/>
        </w:rPr>
        <w:t>El profesor puede transformar la comprensión, las habilidades para desenvolverse, las actitudes o los valores deseados, en representaciones y acciones pedagógicas.</w:t>
      </w:r>
    </w:p>
    <w:p w14:paraId="239A2225" w14:textId="2926BCBF" w:rsidR="009B5EBE" w:rsidRPr="006804EC" w:rsidRDefault="009B5EBE" w:rsidP="009B5EBE">
      <w:pPr>
        <w:pStyle w:val="Prrafodelista"/>
        <w:numPr>
          <w:ilvl w:val="0"/>
          <w:numId w:val="1"/>
        </w:numPr>
        <w:rPr>
          <w:sz w:val="28"/>
          <w:szCs w:val="28"/>
        </w:rPr>
      </w:pPr>
      <w:r w:rsidRPr="006804EC">
        <w:rPr>
          <w:sz w:val="28"/>
          <w:szCs w:val="28"/>
        </w:rPr>
        <w:t>Park, Jang, Che, &amp; Jung (2011) insisten en que la reforma educativa hacia un enfoque constructivista de la enseñanza</w:t>
      </w:r>
      <w:r w:rsidR="006804EC" w:rsidRPr="006804EC">
        <w:rPr>
          <w:sz w:val="28"/>
          <w:szCs w:val="28"/>
        </w:rPr>
        <w:t xml:space="preserve"> </w:t>
      </w:r>
      <w:r w:rsidR="006804EC" w:rsidRPr="006804EC">
        <w:rPr>
          <w:sz w:val="28"/>
          <w:szCs w:val="28"/>
        </w:rPr>
        <w:t>sólo es posible si el profesor entiende el nivel de comprensión del alumno y entonces extiende su diseño de instrucción</w:t>
      </w:r>
      <w:r w:rsidR="006804EC" w:rsidRPr="006804EC">
        <w:rPr>
          <w:sz w:val="28"/>
          <w:szCs w:val="28"/>
        </w:rPr>
        <w:t>.</w:t>
      </w:r>
    </w:p>
    <w:p w14:paraId="4E23BB8F" w14:textId="1B93B573" w:rsidR="006804EC" w:rsidRPr="006804EC" w:rsidRDefault="006804EC" w:rsidP="009B5EBE">
      <w:pPr>
        <w:pStyle w:val="Prrafodelista"/>
        <w:numPr>
          <w:ilvl w:val="0"/>
          <w:numId w:val="1"/>
        </w:numPr>
        <w:rPr>
          <w:sz w:val="28"/>
          <w:szCs w:val="28"/>
        </w:rPr>
      </w:pPr>
      <w:r w:rsidRPr="006804EC">
        <w:rPr>
          <w:sz w:val="28"/>
          <w:szCs w:val="28"/>
        </w:rPr>
        <w:t>Los estudiantes aprenden mejor dentro de comunidades de aprendizaje cohesivas y afectuosas</w:t>
      </w:r>
      <w:r w:rsidRPr="006804EC">
        <w:rPr>
          <w:sz w:val="28"/>
          <w:szCs w:val="28"/>
        </w:rPr>
        <w:t>.</w:t>
      </w:r>
    </w:p>
    <w:p w14:paraId="0CA4CF0D" w14:textId="39D9273D" w:rsidR="006804EC" w:rsidRPr="006804EC" w:rsidRDefault="006804EC" w:rsidP="009B5EBE">
      <w:pPr>
        <w:pStyle w:val="Prrafodelista"/>
        <w:numPr>
          <w:ilvl w:val="0"/>
          <w:numId w:val="1"/>
        </w:numPr>
        <w:rPr>
          <w:sz w:val="28"/>
          <w:szCs w:val="28"/>
        </w:rPr>
      </w:pPr>
      <w:r w:rsidRPr="006804EC">
        <w:rPr>
          <w:sz w:val="28"/>
          <w:szCs w:val="28"/>
        </w:rPr>
        <w:t>Eficacia del profesor</w:t>
      </w:r>
      <w:r w:rsidRPr="006804EC">
        <w:rPr>
          <w:sz w:val="28"/>
          <w:szCs w:val="28"/>
        </w:rPr>
        <w:t xml:space="preserve"> </w:t>
      </w:r>
      <w:r w:rsidRPr="006804EC">
        <w:rPr>
          <w:sz w:val="28"/>
          <w:szCs w:val="28"/>
        </w:rPr>
        <w:t>se refiere a la creencia que tiene el profesor de su capacidad para mejorar los resultados estudiantiles</w:t>
      </w:r>
      <w:r w:rsidRPr="006804EC">
        <w:rPr>
          <w:sz w:val="28"/>
          <w:szCs w:val="28"/>
        </w:rPr>
        <w:t>.</w:t>
      </w:r>
    </w:p>
    <w:p w14:paraId="5AC328A0" w14:textId="23E164A4" w:rsidR="006804EC" w:rsidRPr="006804EC" w:rsidRDefault="006804EC" w:rsidP="009B5EBE">
      <w:pPr>
        <w:pStyle w:val="Prrafodelista"/>
        <w:numPr>
          <w:ilvl w:val="0"/>
          <w:numId w:val="1"/>
        </w:numPr>
        <w:rPr>
          <w:sz w:val="28"/>
          <w:szCs w:val="28"/>
        </w:rPr>
      </w:pPr>
      <w:r w:rsidRPr="006804EC">
        <w:rPr>
          <w:sz w:val="28"/>
          <w:szCs w:val="28"/>
        </w:rPr>
        <w:t>(Garritz, Rueda &amp; Robles, 2011</w:t>
      </w:r>
      <w:r w:rsidRPr="006804EC">
        <w:rPr>
          <w:sz w:val="28"/>
          <w:szCs w:val="28"/>
        </w:rPr>
        <w:t xml:space="preserve">) escribió </w:t>
      </w:r>
      <w:r w:rsidRPr="006804EC">
        <w:rPr>
          <w:sz w:val="28"/>
          <w:szCs w:val="28"/>
        </w:rPr>
        <w:t>que un buen profesor puede lograr el objetivo de la educación científica</w:t>
      </w:r>
    </w:p>
    <w:p w14:paraId="516AF221" w14:textId="18DEA3F9" w:rsidR="006804EC" w:rsidRPr="006804EC" w:rsidRDefault="006804EC" w:rsidP="009B5EBE">
      <w:pPr>
        <w:pStyle w:val="Prrafodelista"/>
        <w:numPr>
          <w:ilvl w:val="0"/>
          <w:numId w:val="1"/>
        </w:numPr>
        <w:rPr>
          <w:sz w:val="28"/>
          <w:szCs w:val="28"/>
        </w:rPr>
      </w:pPr>
      <w:r w:rsidRPr="006804EC">
        <w:rPr>
          <w:sz w:val="28"/>
          <w:szCs w:val="28"/>
        </w:rPr>
        <w:t>Para la enseñanza de la ciencia, el C</w:t>
      </w:r>
      <w:r w:rsidRPr="006804EC">
        <w:rPr>
          <w:sz w:val="28"/>
          <w:szCs w:val="28"/>
        </w:rPr>
        <w:t xml:space="preserve">onocimiento Didáctico del </w:t>
      </w:r>
      <w:r w:rsidRPr="006804EC">
        <w:rPr>
          <w:sz w:val="28"/>
          <w:szCs w:val="28"/>
        </w:rPr>
        <w:t>C</w:t>
      </w:r>
      <w:r w:rsidRPr="006804EC">
        <w:rPr>
          <w:sz w:val="28"/>
          <w:szCs w:val="28"/>
        </w:rPr>
        <w:t>ontenido</w:t>
      </w:r>
      <w:r w:rsidRPr="006804EC">
        <w:rPr>
          <w:sz w:val="28"/>
          <w:szCs w:val="28"/>
        </w:rPr>
        <w:t xml:space="preserve"> debe incluir, enfáticamente, el entendimiento de la indagación como una aproximación al contenido (Eick 2000).</w:t>
      </w:r>
    </w:p>
    <w:p w14:paraId="30454A5F" w14:textId="6EFB9329" w:rsidR="006804EC" w:rsidRPr="006804EC" w:rsidRDefault="006804EC" w:rsidP="009B5EBE">
      <w:pPr>
        <w:pStyle w:val="Prrafodelista"/>
        <w:numPr>
          <w:ilvl w:val="0"/>
          <w:numId w:val="1"/>
        </w:numPr>
        <w:rPr>
          <w:sz w:val="28"/>
          <w:szCs w:val="28"/>
        </w:rPr>
      </w:pPr>
      <w:r w:rsidRPr="006804EC">
        <w:rPr>
          <w:sz w:val="28"/>
          <w:szCs w:val="28"/>
        </w:rPr>
        <w:t>La indagación científica se refiere a las diversas formas en las cuales los científicos abordan el conocimiento de la naturaleza y proponen explicaciones basadas en la evidencia derivada de su trabajo</w:t>
      </w:r>
      <w:r w:rsidRPr="006804EC">
        <w:rPr>
          <w:sz w:val="28"/>
          <w:szCs w:val="28"/>
        </w:rPr>
        <w:t>.</w:t>
      </w:r>
    </w:p>
    <w:p w14:paraId="44499025" w14:textId="74148DBA" w:rsidR="006804EC" w:rsidRDefault="006804EC" w:rsidP="009B5EBE">
      <w:pPr>
        <w:pStyle w:val="Prrafodelista"/>
        <w:numPr>
          <w:ilvl w:val="0"/>
          <w:numId w:val="1"/>
        </w:numPr>
        <w:rPr>
          <w:sz w:val="28"/>
          <w:szCs w:val="28"/>
        </w:rPr>
      </w:pPr>
      <w:r w:rsidRPr="006804EC">
        <w:rPr>
          <w:sz w:val="28"/>
          <w:szCs w:val="28"/>
        </w:rPr>
        <w:t>La indagación también se refiere a las actividades estudiantiles en las cuales desarrollan conocimiento y entendimiento de ideas científic</w:t>
      </w:r>
      <w:r w:rsidRPr="006804EC">
        <w:rPr>
          <w:sz w:val="28"/>
          <w:szCs w:val="28"/>
        </w:rPr>
        <w:t>as.</w:t>
      </w:r>
    </w:p>
    <w:p w14:paraId="538E01D8" w14:textId="262C6209" w:rsidR="008F52C7" w:rsidRPr="008F52C7" w:rsidRDefault="008F52C7" w:rsidP="009B5EBE">
      <w:pPr>
        <w:pStyle w:val="Prrafodelista"/>
        <w:numPr>
          <w:ilvl w:val="0"/>
          <w:numId w:val="1"/>
        </w:numPr>
        <w:rPr>
          <w:sz w:val="36"/>
          <w:szCs w:val="36"/>
        </w:rPr>
      </w:pPr>
      <w:r w:rsidRPr="008F52C7">
        <w:rPr>
          <w:sz w:val="28"/>
          <w:szCs w:val="28"/>
        </w:rPr>
        <w:t>Existen varios estudios que indican que los alumnos tienen por lo general más éxito en resolver problemas mediante el uso de un procedimiento memorizado que otros con una base mucho más</w:t>
      </w:r>
      <w:r w:rsidRPr="008F52C7">
        <w:rPr>
          <w:sz w:val="28"/>
          <w:szCs w:val="28"/>
        </w:rPr>
        <w:t xml:space="preserve"> </w:t>
      </w:r>
      <w:r w:rsidRPr="008F52C7">
        <w:rPr>
          <w:sz w:val="28"/>
          <w:szCs w:val="28"/>
        </w:rPr>
        <w:t>conceptual (Bunce, 1993; Nakhleh, 199</w:t>
      </w:r>
      <w:r w:rsidRPr="008F52C7">
        <w:rPr>
          <w:sz w:val="28"/>
          <w:szCs w:val="28"/>
        </w:rPr>
        <w:t>3)</w:t>
      </w:r>
    </w:p>
    <w:p w14:paraId="2CAEE0D0" w14:textId="77777777" w:rsidR="008F52C7" w:rsidRDefault="008F52C7" w:rsidP="008F52C7">
      <w:pPr>
        <w:pStyle w:val="Prrafodelista"/>
        <w:jc w:val="right"/>
        <w:rPr>
          <w:sz w:val="28"/>
          <w:szCs w:val="28"/>
        </w:rPr>
      </w:pPr>
    </w:p>
    <w:p w14:paraId="040AB823" w14:textId="6AAA91F9" w:rsidR="006804EC" w:rsidRPr="006804EC" w:rsidRDefault="008F52C7" w:rsidP="008F52C7">
      <w:pPr>
        <w:pStyle w:val="Prrafodelista"/>
        <w:jc w:val="right"/>
        <w:rPr>
          <w:sz w:val="28"/>
          <w:szCs w:val="28"/>
        </w:rPr>
      </w:pPr>
      <w:r>
        <w:rPr>
          <w:noProof/>
          <w:sz w:val="28"/>
          <w:szCs w:val="28"/>
        </w:rPr>
        <w:drawing>
          <wp:inline distT="0" distB="0" distL="0" distR="0" wp14:anchorId="1D60C6A4" wp14:editId="2778D791">
            <wp:extent cx="1122045" cy="10668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066800"/>
                    </a:xfrm>
                    <a:prstGeom prst="rect">
                      <a:avLst/>
                    </a:prstGeom>
                    <a:noFill/>
                  </pic:spPr>
                </pic:pic>
              </a:graphicData>
            </a:graphic>
          </wp:inline>
        </w:drawing>
      </w:r>
    </w:p>
    <w:sectPr w:rsidR="006804EC" w:rsidRPr="006804EC" w:rsidSect="009B5EBE">
      <w:pgSz w:w="12240" w:h="15840"/>
      <w:pgMar w:top="1417" w:right="1701" w:bottom="1417" w:left="1701" w:header="708" w:footer="708" w:gutter="0"/>
      <w:pgBorders w:offsetFrom="page">
        <w:top w:val="double" w:sz="12" w:space="24" w:color="00CC00"/>
        <w:left w:val="double" w:sz="12" w:space="24" w:color="00CC00"/>
        <w:bottom w:val="double" w:sz="12" w:space="24" w:color="00CC00"/>
        <w:right w:val="double" w:sz="12" w:space="24" w:color="00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A2FFC"/>
    <w:multiLevelType w:val="hybridMultilevel"/>
    <w:tmpl w:val="3162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BE"/>
    <w:rsid w:val="006804EC"/>
    <w:rsid w:val="008F52C7"/>
    <w:rsid w:val="009B5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564A"/>
  <w15:chartTrackingRefBased/>
  <w15:docId w15:val="{8BA38E96-BEA2-4768-BBF3-F8C207A4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2021-03-14T04:34:00Z</dcterms:created>
  <dcterms:modified xsi:type="dcterms:W3CDTF">2021-03-14T05:01:00Z</dcterms:modified>
</cp:coreProperties>
</file>