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292735</wp:posOffset>
            </wp:positionH>
            <wp:positionV relativeFrom="paragraph">
              <wp:posOffset>-125095</wp:posOffset>
            </wp:positionV>
            <wp:extent cx="896128" cy="774700"/>
            <wp:effectExtent l="0" t="0" r="0" b="0"/>
            <wp:wrapNone/>
            <wp:docPr id="1" name="Imagen 1" descr="Museo Presidentes auf Twitter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auf Twitter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28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28"/>
          <w:lang w:val="es-ES"/>
        </w:rPr>
        <w:t>Escuela Normal de Educación Preescolar del Estado de Coahuila</w:t>
      </w: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rFonts w:ascii="Comic Sans MS" w:hAnsi="Comic Sans MS"/>
          <w:b/>
          <w:sz w:val="32"/>
          <w:szCs w:val="28"/>
          <w:lang w:val="es-ES"/>
        </w:rPr>
        <w:t>Licenciatura en Educación Preescolar</w:t>
      </w: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bookmarkStart w:id="0" w:name="_GoBack"/>
      <w:bookmarkEnd w:id="0"/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rFonts w:ascii="Comic Sans MS" w:hAnsi="Comic Sans MS"/>
          <w:b/>
          <w:sz w:val="32"/>
          <w:szCs w:val="28"/>
          <w:lang w:val="es-ES"/>
        </w:rPr>
        <w:t>La enseñanza y el aprendiz</w:t>
      </w:r>
      <w:r>
        <w:rPr>
          <w:rFonts w:ascii="Comic Sans MS" w:hAnsi="Comic Sans MS"/>
          <w:b/>
          <w:sz w:val="32"/>
          <w:szCs w:val="28"/>
          <w:lang w:val="es-ES"/>
        </w:rPr>
        <w:t>aje de la comprensión lectora (2</w:t>
      </w:r>
      <w:r>
        <w:rPr>
          <w:rFonts w:ascii="Comic Sans MS" w:hAnsi="Comic Sans MS"/>
          <w:b/>
          <w:sz w:val="32"/>
          <w:szCs w:val="28"/>
          <w:lang w:val="es-ES"/>
        </w:rPr>
        <w:t>° Parte)</w:t>
      </w: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rFonts w:ascii="Comic Sans MS" w:hAnsi="Comic Sans MS"/>
          <w:b/>
          <w:sz w:val="32"/>
          <w:szCs w:val="28"/>
          <w:lang w:val="es-ES"/>
        </w:rPr>
        <w:t>Curso: Desarrollo de competencias lectoras</w:t>
      </w: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rFonts w:ascii="Comic Sans MS" w:hAnsi="Comic Sans MS"/>
          <w:b/>
          <w:sz w:val="32"/>
          <w:szCs w:val="28"/>
          <w:lang w:val="es-ES"/>
        </w:rPr>
        <w:t>Docente: Lic. Humberto Valdez Sánchez</w:t>
      </w: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rFonts w:ascii="Comic Sans MS" w:hAnsi="Comic Sans MS"/>
          <w:b/>
          <w:sz w:val="32"/>
          <w:szCs w:val="28"/>
          <w:lang w:val="es-ES"/>
        </w:rPr>
        <w:t>Grado: 2°   Sección: C No Lista: 19</w:t>
      </w: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466DCE" w:rsidRDefault="00466DCE" w:rsidP="00466DCE">
      <w:pPr>
        <w:jc w:val="right"/>
        <w:rPr>
          <w:rFonts w:ascii="Comic Sans MS" w:hAnsi="Comic Sans MS"/>
          <w:b/>
          <w:sz w:val="32"/>
          <w:szCs w:val="28"/>
          <w:lang w:val="es-ES"/>
        </w:rPr>
      </w:pPr>
      <w:r>
        <w:rPr>
          <w:rFonts w:ascii="Comic Sans MS" w:hAnsi="Comic Sans MS"/>
          <w:b/>
          <w:sz w:val="32"/>
          <w:szCs w:val="28"/>
          <w:lang w:val="es-ES"/>
        </w:rPr>
        <w:t>15</w:t>
      </w:r>
      <w:r>
        <w:rPr>
          <w:rFonts w:ascii="Comic Sans MS" w:hAnsi="Comic Sans MS"/>
          <w:b/>
          <w:sz w:val="32"/>
          <w:szCs w:val="28"/>
          <w:lang w:val="es-ES"/>
        </w:rPr>
        <w:t>/Abril/2021</w:t>
      </w:r>
    </w:p>
    <w:p w:rsidR="000B2177" w:rsidRDefault="00466DCE" w:rsidP="00466DCE">
      <w:pPr>
        <w:rPr>
          <w:rFonts w:ascii="Comic Sans MS" w:hAnsi="Comic Sans MS"/>
          <w:b/>
          <w:sz w:val="28"/>
          <w:szCs w:val="28"/>
          <w:lang w:val="es-ES"/>
        </w:rPr>
      </w:pPr>
      <w:r w:rsidRPr="00466DCE">
        <w:rPr>
          <w:rFonts w:ascii="Comic Sans MS" w:hAnsi="Comic Sans MS"/>
          <w:b/>
          <w:sz w:val="28"/>
          <w:szCs w:val="28"/>
          <w:lang w:val="es-ES"/>
        </w:rPr>
        <w:lastRenderedPageBreak/>
        <w:t>La enseñanza y el aprendizaje de la comprensión lectora</w:t>
      </w:r>
    </w:p>
    <w:p w:rsidR="00730046" w:rsidRDefault="00730046" w:rsidP="00730046">
      <w:pPr>
        <w:rPr>
          <w:rFonts w:ascii="Arial" w:hAnsi="Arial" w:cs="Arial"/>
          <w:sz w:val="24"/>
          <w:szCs w:val="24"/>
        </w:rPr>
      </w:pPr>
    </w:p>
    <w:p w:rsidR="00730046" w:rsidRDefault="00730046" w:rsidP="00730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El nuevo modelo de lectura establecido supone la </w:t>
      </w:r>
      <w:r w:rsidR="00F33137">
        <w:rPr>
          <w:rFonts w:ascii="Arial" w:hAnsi="Arial" w:cs="Arial"/>
          <w:sz w:val="24"/>
          <w:szCs w:val="24"/>
        </w:rPr>
        <w:t>interrelación</w:t>
      </w:r>
      <w:r>
        <w:rPr>
          <w:rFonts w:ascii="Arial" w:hAnsi="Arial" w:cs="Arial"/>
          <w:sz w:val="24"/>
          <w:szCs w:val="24"/>
        </w:rPr>
        <w:t xml:space="preserve"> de tres factores que deben </w:t>
      </w:r>
      <w:r w:rsidR="00F33137">
        <w:rPr>
          <w:rFonts w:ascii="Arial" w:hAnsi="Arial" w:cs="Arial"/>
          <w:sz w:val="24"/>
          <w:szCs w:val="24"/>
        </w:rPr>
        <w:t>tenerse</w:t>
      </w:r>
      <w:r>
        <w:rPr>
          <w:rFonts w:ascii="Arial" w:hAnsi="Arial" w:cs="Arial"/>
          <w:sz w:val="24"/>
          <w:szCs w:val="24"/>
        </w:rPr>
        <w:t xml:space="preserve"> en cuenta en su enseñanza</w:t>
      </w:r>
      <w:r w:rsidR="00F33137">
        <w:rPr>
          <w:rFonts w:ascii="Arial" w:hAnsi="Arial" w:cs="Arial"/>
          <w:sz w:val="24"/>
          <w:szCs w:val="24"/>
        </w:rPr>
        <w:t>: el lector, el texto y el contexto de la lectura.</w:t>
      </w:r>
    </w:p>
    <w:p w:rsidR="00F33137" w:rsidRPr="00792058" w:rsidRDefault="00F33137" w:rsidP="00F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El lector: incluye los conocimientos que este posee en un sentido amplio, es decir, todo lo que es y sabe sobre el mundo.</w:t>
      </w:r>
    </w:p>
    <w:p w:rsidR="00F33137" w:rsidRPr="00792058" w:rsidRDefault="00F33137" w:rsidP="00F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El texto: Se refiere a la intención del autor, al contenido de lo que dice y a la forma en que organiza su mensaje.</w:t>
      </w:r>
    </w:p>
    <w:p w:rsidR="00F33137" w:rsidRPr="00792058" w:rsidRDefault="00F33137" w:rsidP="00F3313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El contexto: Comprende las condiciones de la lectura, tanto las del propio lector como las derivadas del entorno social.</w:t>
      </w:r>
    </w:p>
    <w:p w:rsidR="00F33137" w:rsidRDefault="00F33137" w:rsidP="00F33137">
      <w:pPr>
        <w:rPr>
          <w:rFonts w:ascii="Arial" w:hAnsi="Arial" w:cs="Arial"/>
          <w:sz w:val="24"/>
          <w:szCs w:val="24"/>
        </w:rPr>
      </w:pPr>
    </w:p>
    <w:p w:rsidR="00F33137" w:rsidRDefault="00F33137" w:rsidP="00F33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Existen una serie de estructuras y procesos implicados en el acto de lectura. ¿Cuál es la diferencia entre ellos?</w:t>
      </w:r>
    </w:p>
    <w:p w:rsidR="00F33137" w:rsidRPr="00792058" w:rsidRDefault="00F33137" w:rsidP="00F33137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Las estructuras son: los conocimientos y características del lector con independencia de su lectura.</w:t>
      </w:r>
    </w:p>
    <w:p w:rsidR="00F33137" w:rsidRPr="00792058" w:rsidRDefault="00F33137" w:rsidP="00F33137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Los procesos se refieren: al desarrollo de actividades cognitivas durante la lectura.</w:t>
      </w:r>
    </w:p>
    <w:p w:rsidR="00F33137" w:rsidRDefault="00F33137" w:rsidP="00F33137">
      <w:pPr>
        <w:rPr>
          <w:rFonts w:ascii="Arial" w:hAnsi="Arial" w:cs="Arial"/>
          <w:sz w:val="24"/>
          <w:szCs w:val="24"/>
        </w:rPr>
      </w:pPr>
    </w:p>
    <w:p w:rsidR="00F33137" w:rsidRDefault="00F33137" w:rsidP="00F33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Explica con tus propias palabras las estructuras y procesos Irwin (1986) implica en el acto de lectura:</w:t>
      </w:r>
    </w:p>
    <w:p w:rsidR="00F33137" w:rsidRPr="00792058" w:rsidRDefault="00F33137" w:rsidP="00F3313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Las estructuras cognitivas: Se refieren a la comprensión de la lengua y conocimientos del mundo.</w:t>
      </w:r>
    </w:p>
    <w:p w:rsidR="00F33137" w:rsidRPr="00792058" w:rsidRDefault="00F33137" w:rsidP="00F3313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Las estructuras afectivas: Se refieren a la actitud del lector a la hora de leer.</w:t>
      </w:r>
    </w:p>
    <w:p w:rsidR="00F33137" w:rsidRPr="00792058" w:rsidRDefault="00282030" w:rsidP="00F3313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 xml:space="preserve">Los </w:t>
      </w:r>
      <w:r w:rsidR="00000880" w:rsidRPr="00792058">
        <w:rPr>
          <w:rFonts w:ascii="Arial" w:hAnsi="Arial" w:cs="Arial"/>
          <w:sz w:val="24"/>
          <w:szCs w:val="24"/>
          <w:highlight w:val="yellow"/>
        </w:rPr>
        <w:t>micro procesos</w:t>
      </w:r>
      <w:r w:rsidRPr="00792058">
        <w:rPr>
          <w:rFonts w:ascii="Arial" w:hAnsi="Arial" w:cs="Arial"/>
          <w:sz w:val="24"/>
          <w:szCs w:val="24"/>
          <w:highlight w:val="yellow"/>
        </w:rPr>
        <w:t xml:space="preserve">: Se refieren a la comprensión y a reconocer lo que se </w:t>
      </w:r>
      <w:r w:rsidR="00000880" w:rsidRPr="00792058">
        <w:rPr>
          <w:rFonts w:ascii="Arial" w:hAnsi="Arial" w:cs="Arial"/>
          <w:sz w:val="24"/>
          <w:szCs w:val="24"/>
          <w:highlight w:val="yellow"/>
        </w:rPr>
        <w:t>está</w:t>
      </w:r>
      <w:r w:rsidRPr="00792058">
        <w:rPr>
          <w:rFonts w:ascii="Arial" w:hAnsi="Arial" w:cs="Arial"/>
          <w:sz w:val="24"/>
          <w:szCs w:val="24"/>
          <w:highlight w:val="yellow"/>
        </w:rPr>
        <w:t xml:space="preserve"> leyendo.</w:t>
      </w:r>
    </w:p>
    <w:p w:rsidR="00282030" w:rsidRPr="00792058" w:rsidRDefault="00282030" w:rsidP="0028203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 xml:space="preserve">Los procesos de </w:t>
      </w:r>
      <w:r w:rsidR="00000880" w:rsidRPr="00792058">
        <w:rPr>
          <w:rFonts w:ascii="Arial" w:hAnsi="Arial" w:cs="Arial"/>
          <w:sz w:val="24"/>
          <w:szCs w:val="24"/>
          <w:highlight w:val="yellow"/>
        </w:rPr>
        <w:t>interacción</w:t>
      </w:r>
      <w:r w:rsidRPr="00792058">
        <w:rPr>
          <w:rFonts w:ascii="Arial" w:hAnsi="Arial" w:cs="Arial"/>
          <w:sz w:val="24"/>
          <w:szCs w:val="24"/>
          <w:highlight w:val="yellow"/>
        </w:rPr>
        <w:t>: Enlaza las palabras o frases del texto.</w:t>
      </w:r>
    </w:p>
    <w:p w:rsidR="00282030" w:rsidRPr="00792058" w:rsidRDefault="00282030" w:rsidP="0028203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 xml:space="preserve">Los </w:t>
      </w:r>
      <w:r w:rsidR="00000880" w:rsidRPr="00792058">
        <w:rPr>
          <w:rFonts w:ascii="Arial" w:hAnsi="Arial" w:cs="Arial"/>
          <w:sz w:val="24"/>
          <w:szCs w:val="24"/>
          <w:highlight w:val="yellow"/>
        </w:rPr>
        <w:t>macro procesos</w:t>
      </w:r>
      <w:r w:rsidRPr="00792058">
        <w:rPr>
          <w:rFonts w:ascii="Arial" w:hAnsi="Arial" w:cs="Arial"/>
          <w:sz w:val="24"/>
          <w:szCs w:val="24"/>
          <w:highlight w:val="yellow"/>
        </w:rPr>
        <w:t>: Se refiere a la comprensión global del texto.</w:t>
      </w:r>
    </w:p>
    <w:p w:rsidR="00282030" w:rsidRPr="00792058" w:rsidRDefault="00282030" w:rsidP="0028203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Los procesos de elaboración: Llevan al lector a sacar deducciones del texto.</w:t>
      </w:r>
    </w:p>
    <w:p w:rsidR="00282030" w:rsidRDefault="00282030" w:rsidP="0028203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 xml:space="preserve">Los procesos </w:t>
      </w:r>
      <w:r w:rsidR="00000880" w:rsidRPr="00792058">
        <w:rPr>
          <w:rFonts w:ascii="Arial" w:hAnsi="Arial" w:cs="Arial"/>
          <w:sz w:val="24"/>
          <w:szCs w:val="24"/>
          <w:highlight w:val="yellow"/>
        </w:rPr>
        <w:t>meta cognitivos</w:t>
      </w:r>
      <w:r w:rsidRPr="00792058">
        <w:rPr>
          <w:rFonts w:ascii="Arial" w:hAnsi="Arial" w:cs="Arial"/>
          <w:sz w:val="24"/>
          <w:szCs w:val="24"/>
          <w:highlight w:val="yellow"/>
        </w:rPr>
        <w:t>: Se refieren a solucionar la falta de comprensión del texto.</w:t>
      </w:r>
    </w:p>
    <w:p w:rsidR="00000880" w:rsidRDefault="00000880" w:rsidP="00000880">
      <w:pPr>
        <w:rPr>
          <w:rFonts w:ascii="Arial" w:hAnsi="Arial" w:cs="Arial"/>
          <w:sz w:val="24"/>
          <w:szCs w:val="24"/>
          <w:highlight w:val="yellow"/>
        </w:rPr>
      </w:pPr>
    </w:p>
    <w:p w:rsidR="00000880" w:rsidRPr="00000880" w:rsidRDefault="00000880" w:rsidP="00000880">
      <w:pPr>
        <w:rPr>
          <w:rFonts w:ascii="Arial" w:hAnsi="Arial" w:cs="Arial"/>
          <w:sz w:val="24"/>
          <w:szCs w:val="24"/>
          <w:highlight w:val="yellow"/>
        </w:rPr>
      </w:pPr>
    </w:p>
    <w:p w:rsidR="00282030" w:rsidRDefault="00282030" w:rsidP="00282030">
      <w:pPr>
        <w:rPr>
          <w:rFonts w:ascii="Arial" w:hAnsi="Arial" w:cs="Arial"/>
          <w:sz w:val="24"/>
          <w:szCs w:val="24"/>
        </w:rPr>
      </w:pPr>
    </w:p>
    <w:p w:rsidR="00282030" w:rsidRDefault="00282030" w:rsidP="00282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14. Una de las actividades que </w:t>
      </w:r>
      <w:r w:rsidR="0000088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se </w:t>
      </w:r>
      <w:r w:rsidR="0000088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incorporando a las rutinas escolares es la de explorar los </w:t>
      </w:r>
      <w:r w:rsidR="00000880">
        <w:rPr>
          <w:rFonts w:ascii="Arial" w:hAnsi="Arial" w:cs="Arial"/>
          <w:sz w:val="24"/>
          <w:szCs w:val="24"/>
        </w:rPr>
        <w:t>conocimientos</w:t>
      </w:r>
      <w:r>
        <w:rPr>
          <w:rFonts w:ascii="Arial" w:hAnsi="Arial" w:cs="Arial"/>
          <w:sz w:val="24"/>
          <w:szCs w:val="24"/>
        </w:rPr>
        <w:t xml:space="preserve"> previos de los alumnos antes de la lectura </w:t>
      </w:r>
      <w:r w:rsidR="00792058">
        <w:rPr>
          <w:rFonts w:ascii="Arial" w:hAnsi="Arial" w:cs="Arial"/>
          <w:sz w:val="24"/>
          <w:szCs w:val="24"/>
        </w:rPr>
        <w:t>de los textos propuestos. Esta estrategia de enseñanza puede mejorarse cambiando la interrogación tradicional del profesor, de</w:t>
      </w:r>
    </w:p>
    <w:p w:rsidR="00792058" w:rsidRDefault="00792058" w:rsidP="00282030">
      <w:pPr>
        <w:rPr>
          <w:rFonts w:ascii="Arial" w:hAnsi="Arial" w:cs="Arial"/>
          <w:sz w:val="24"/>
          <w:szCs w:val="24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R: ¿Qué no saben los alumnos y como puedo enseñárselo? A ¿Qué saben los alumnos y como puedo ampliarlo o precisarlo?</w:t>
      </w:r>
    </w:p>
    <w:p w:rsidR="00792058" w:rsidRDefault="00792058" w:rsidP="00282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Para que un lector pueda entender un texto, ¿Cuál es la proporción de información conocida y de información nueva que debe contener?</w:t>
      </w:r>
    </w:p>
    <w:p w:rsidR="00792058" w:rsidRDefault="00792058" w:rsidP="00282030">
      <w:pPr>
        <w:rPr>
          <w:rFonts w:ascii="Arial" w:hAnsi="Arial" w:cs="Arial"/>
          <w:sz w:val="24"/>
          <w:szCs w:val="24"/>
        </w:rPr>
      </w:pPr>
      <w:r w:rsidRPr="00792058">
        <w:rPr>
          <w:rFonts w:ascii="Arial" w:hAnsi="Arial" w:cs="Arial"/>
          <w:sz w:val="24"/>
          <w:szCs w:val="24"/>
          <w:highlight w:val="yellow"/>
        </w:rPr>
        <w:t>R: Debe contener un 80% de información conocida y 20% de información nueva.</w:t>
      </w:r>
    </w:p>
    <w:p w:rsidR="0044187F" w:rsidRDefault="00792058" w:rsidP="00282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44187F">
        <w:rPr>
          <w:rFonts w:ascii="Arial" w:hAnsi="Arial" w:cs="Arial"/>
          <w:sz w:val="24"/>
          <w:szCs w:val="24"/>
        </w:rPr>
        <w:t xml:space="preserve">Para explorar los conocimientos previos de los alumnos hay una actividad que se </w:t>
      </w:r>
      <w:r w:rsidR="00000880">
        <w:rPr>
          <w:rFonts w:ascii="Arial" w:hAnsi="Arial" w:cs="Arial"/>
          <w:sz w:val="24"/>
          <w:szCs w:val="24"/>
        </w:rPr>
        <w:t>está</w:t>
      </w:r>
      <w:r w:rsidR="0044187F">
        <w:rPr>
          <w:rFonts w:ascii="Arial" w:hAnsi="Arial" w:cs="Arial"/>
          <w:sz w:val="24"/>
          <w:szCs w:val="24"/>
        </w:rPr>
        <w:t xml:space="preserve"> generalizando en la escuela: la discusión previa del tema en el aula, sin embargo, a menudo su eficacia queda anulada porque…</w:t>
      </w:r>
    </w:p>
    <w:p w:rsidR="0044187F" w:rsidRDefault="0044187F" w:rsidP="00282030">
      <w:pPr>
        <w:rPr>
          <w:rFonts w:ascii="Arial" w:hAnsi="Arial" w:cs="Arial"/>
          <w:sz w:val="24"/>
          <w:szCs w:val="24"/>
        </w:rPr>
      </w:pPr>
      <w:r w:rsidRPr="00000880">
        <w:rPr>
          <w:rFonts w:ascii="Arial" w:hAnsi="Arial" w:cs="Arial"/>
          <w:sz w:val="24"/>
          <w:szCs w:val="24"/>
          <w:highlight w:val="yellow"/>
        </w:rPr>
        <w:t>R: La incitación de los maestros es excesivamente general y deriva hacia un diluvio disperso de ideas y opiniones, o bien porque se desvían hacia temas secundarios.</w:t>
      </w:r>
    </w:p>
    <w:p w:rsidR="0044187F" w:rsidRDefault="0044187F" w:rsidP="00282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La rutina de intervención para preparar a los alumnos para una lectura </w:t>
      </w:r>
      <w:r w:rsidR="00000880">
        <w:rPr>
          <w:rFonts w:ascii="Arial" w:hAnsi="Arial" w:cs="Arial"/>
          <w:sz w:val="24"/>
          <w:szCs w:val="24"/>
        </w:rPr>
        <w:t>varía</w:t>
      </w:r>
      <w:r>
        <w:rPr>
          <w:rFonts w:ascii="Arial" w:hAnsi="Arial" w:cs="Arial"/>
          <w:sz w:val="24"/>
          <w:szCs w:val="24"/>
        </w:rPr>
        <w:t xml:space="preserve"> en función del tipo de texto:</w:t>
      </w:r>
    </w:p>
    <w:p w:rsidR="00792058" w:rsidRPr="00000880" w:rsidRDefault="0044187F" w:rsidP="0044187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highlight w:val="yellow"/>
        </w:rPr>
      </w:pPr>
      <w:r w:rsidRPr="00000880">
        <w:rPr>
          <w:rFonts w:ascii="Arial" w:hAnsi="Arial" w:cs="Arial"/>
          <w:sz w:val="24"/>
          <w:szCs w:val="24"/>
          <w:highlight w:val="yellow"/>
        </w:rPr>
        <w:t xml:space="preserve">En los textos narrativos: La preparación </w:t>
      </w:r>
      <w:r w:rsidR="00000880" w:rsidRPr="00000880">
        <w:rPr>
          <w:rFonts w:ascii="Arial" w:hAnsi="Arial" w:cs="Arial"/>
          <w:sz w:val="24"/>
          <w:szCs w:val="24"/>
          <w:highlight w:val="yellow"/>
        </w:rPr>
        <w:t>más</w:t>
      </w:r>
      <w:r w:rsidRPr="00000880">
        <w:rPr>
          <w:rFonts w:ascii="Arial" w:hAnsi="Arial" w:cs="Arial"/>
          <w:sz w:val="24"/>
          <w:szCs w:val="24"/>
          <w:highlight w:val="yellow"/>
        </w:rPr>
        <w:t xml:space="preserve"> efectiva es la utilización de técnicas orales que </w:t>
      </w:r>
      <w:r w:rsidR="00000880" w:rsidRPr="00000880">
        <w:rPr>
          <w:rFonts w:ascii="Arial" w:hAnsi="Arial" w:cs="Arial"/>
          <w:sz w:val="24"/>
          <w:szCs w:val="24"/>
          <w:highlight w:val="yellow"/>
        </w:rPr>
        <w:t>susciten</w:t>
      </w:r>
      <w:r w:rsidRPr="00000880">
        <w:rPr>
          <w:rFonts w:ascii="Arial" w:hAnsi="Arial" w:cs="Arial"/>
          <w:sz w:val="24"/>
          <w:szCs w:val="24"/>
          <w:highlight w:val="yellow"/>
        </w:rPr>
        <w:t xml:space="preserve"> intriga, ofrezcan una breve sinopsis de la historia y motiven la predicción. </w:t>
      </w:r>
    </w:p>
    <w:p w:rsidR="00000880" w:rsidRPr="00000880" w:rsidRDefault="00000880" w:rsidP="0044187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highlight w:val="yellow"/>
        </w:rPr>
      </w:pPr>
      <w:r w:rsidRPr="00000880">
        <w:rPr>
          <w:rFonts w:ascii="Arial" w:hAnsi="Arial" w:cs="Arial"/>
          <w:sz w:val="24"/>
          <w:szCs w:val="24"/>
          <w:highlight w:val="yellow"/>
        </w:rPr>
        <w:t>En los textos informativos: Parece más adecuada la exploración de las palabras clave, la formulación de hipótesis sobre los fenómenos tratados y la advertencia sobre las posibles discrepancias.</w:t>
      </w:r>
    </w:p>
    <w:sectPr w:rsidR="00000880" w:rsidRPr="00000880" w:rsidSect="007D5E9F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0"/>
    <w:multiLevelType w:val="hybridMultilevel"/>
    <w:tmpl w:val="BDF86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6BAD"/>
    <w:multiLevelType w:val="hybridMultilevel"/>
    <w:tmpl w:val="2EAABB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0781"/>
    <w:multiLevelType w:val="hybridMultilevel"/>
    <w:tmpl w:val="FEC67872"/>
    <w:lvl w:ilvl="0" w:tplc="080A0017">
      <w:start w:val="1"/>
      <w:numFmt w:val="lowerLetter"/>
      <w:lvlText w:val="%1)"/>
      <w:lvlJc w:val="left"/>
      <w:pPr>
        <w:ind w:left="790" w:hanging="360"/>
      </w:pPr>
    </w:lvl>
    <w:lvl w:ilvl="1" w:tplc="080A0019" w:tentative="1">
      <w:start w:val="1"/>
      <w:numFmt w:val="lowerLetter"/>
      <w:lvlText w:val="%2."/>
      <w:lvlJc w:val="left"/>
      <w:pPr>
        <w:ind w:left="1510" w:hanging="360"/>
      </w:pPr>
    </w:lvl>
    <w:lvl w:ilvl="2" w:tplc="080A001B" w:tentative="1">
      <w:start w:val="1"/>
      <w:numFmt w:val="lowerRoman"/>
      <w:lvlText w:val="%3."/>
      <w:lvlJc w:val="right"/>
      <w:pPr>
        <w:ind w:left="2230" w:hanging="180"/>
      </w:pPr>
    </w:lvl>
    <w:lvl w:ilvl="3" w:tplc="080A000F" w:tentative="1">
      <w:start w:val="1"/>
      <w:numFmt w:val="decimal"/>
      <w:lvlText w:val="%4."/>
      <w:lvlJc w:val="left"/>
      <w:pPr>
        <w:ind w:left="2950" w:hanging="360"/>
      </w:pPr>
    </w:lvl>
    <w:lvl w:ilvl="4" w:tplc="080A0019" w:tentative="1">
      <w:start w:val="1"/>
      <w:numFmt w:val="lowerLetter"/>
      <w:lvlText w:val="%5."/>
      <w:lvlJc w:val="left"/>
      <w:pPr>
        <w:ind w:left="3670" w:hanging="360"/>
      </w:pPr>
    </w:lvl>
    <w:lvl w:ilvl="5" w:tplc="080A001B" w:tentative="1">
      <w:start w:val="1"/>
      <w:numFmt w:val="lowerRoman"/>
      <w:lvlText w:val="%6."/>
      <w:lvlJc w:val="right"/>
      <w:pPr>
        <w:ind w:left="4390" w:hanging="180"/>
      </w:pPr>
    </w:lvl>
    <w:lvl w:ilvl="6" w:tplc="080A000F" w:tentative="1">
      <w:start w:val="1"/>
      <w:numFmt w:val="decimal"/>
      <w:lvlText w:val="%7."/>
      <w:lvlJc w:val="left"/>
      <w:pPr>
        <w:ind w:left="5110" w:hanging="360"/>
      </w:pPr>
    </w:lvl>
    <w:lvl w:ilvl="7" w:tplc="080A0019" w:tentative="1">
      <w:start w:val="1"/>
      <w:numFmt w:val="lowerLetter"/>
      <w:lvlText w:val="%8."/>
      <w:lvlJc w:val="left"/>
      <w:pPr>
        <w:ind w:left="5830" w:hanging="360"/>
      </w:pPr>
    </w:lvl>
    <w:lvl w:ilvl="8" w:tplc="0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628333A"/>
    <w:multiLevelType w:val="hybridMultilevel"/>
    <w:tmpl w:val="F1E447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5EA2"/>
    <w:multiLevelType w:val="hybridMultilevel"/>
    <w:tmpl w:val="48E838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00453"/>
    <w:multiLevelType w:val="hybridMultilevel"/>
    <w:tmpl w:val="85A239C6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A691E"/>
    <w:multiLevelType w:val="hybridMultilevel"/>
    <w:tmpl w:val="E0B0645E"/>
    <w:lvl w:ilvl="0" w:tplc="080A0017">
      <w:start w:val="1"/>
      <w:numFmt w:val="lowerLetter"/>
      <w:lvlText w:val="%1)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C17037"/>
    <w:multiLevelType w:val="hybridMultilevel"/>
    <w:tmpl w:val="752EBF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CE"/>
    <w:rsid w:val="00000880"/>
    <w:rsid w:val="000B2177"/>
    <w:rsid w:val="00282030"/>
    <w:rsid w:val="00291C97"/>
    <w:rsid w:val="0044187F"/>
    <w:rsid w:val="00466DCE"/>
    <w:rsid w:val="00730046"/>
    <w:rsid w:val="00792058"/>
    <w:rsid w:val="007D5E9F"/>
    <w:rsid w:val="00F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73B7"/>
  <w15:chartTrackingRefBased/>
  <w15:docId w15:val="{F9288B6D-E73B-4BFF-9DD9-CDCF358B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C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Ateneo Fuente</cp:lastModifiedBy>
  <cp:revision>2</cp:revision>
  <dcterms:created xsi:type="dcterms:W3CDTF">2021-04-15T22:41:00Z</dcterms:created>
  <dcterms:modified xsi:type="dcterms:W3CDTF">2021-04-16T00:30:00Z</dcterms:modified>
</cp:coreProperties>
</file>