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8C29" w14:textId="3EC1515B" w:rsidR="00D175E0" w:rsidRDefault="007E15EF" w:rsidP="007E15EF">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195AD49F" w14:textId="2CE63CFE" w:rsidR="007E15EF" w:rsidRDefault="007E15EF" w:rsidP="007E15EF">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17BEA508" w14:textId="7D92DF58" w:rsidR="007E15EF" w:rsidRDefault="007E15EF" w:rsidP="007E15EF">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068F34AC" wp14:editId="5C625C1A">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626B6D15" w14:textId="6BAD96A2" w:rsidR="007E15EF" w:rsidRDefault="007E15EF" w:rsidP="007E15EF">
      <w:pPr>
        <w:spacing w:line="360" w:lineRule="auto"/>
        <w:jc w:val="center"/>
        <w:rPr>
          <w:rFonts w:ascii="Arial" w:hAnsi="Arial" w:cs="Arial"/>
          <w:b/>
          <w:bCs/>
          <w:sz w:val="28"/>
          <w:szCs w:val="28"/>
        </w:rPr>
      </w:pPr>
      <w:r>
        <w:rPr>
          <w:rFonts w:ascii="Arial" w:hAnsi="Arial" w:cs="Arial"/>
          <w:b/>
          <w:bCs/>
          <w:sz w:val="28"/>
          <w:szCs w:val="28"/>
        </w:rPr>
        <w:t>“La enseñanza y el aprendizaje de la comprensión lectora”</w:t>
      </w:r>
    </w:p>
    <w:p w14:paraId="7D78C5F3" w14:textId="1E13985F" w:rsidR="007E15EF" w:rsidRDefault="00A440EF" w:rsidP="007E15EF">
      <w:pPr>
        <w:spacing w:line="360" w:lineRule="auto"/>
        <w:jc w:val="center"/>
        <w:rPr>
          <w:rFonts w:ascii="Arial" w:hAnsi="Arial" w:cs="Arial"/>
          <w:b/>
          <w:bCs/>
          <w:sz w:val="28"/>
          <w:szCs w:val="28"/>
        </w:rPr>
      </w:pPr>
      <w:r>
        <w:rPr>
          <w:rFonts w:ascii="Arial" w:hAnsi="Arial" w:cs="Arial"/>
          <w:b/>
          <w:bCs/>
          <w:sz w:val="28"/>
          <w:szCs w:val="28"/>
        </w:rPr>
        <w:t>2da.</w:t>
      </w:r>
      <w:r w:rsidR="007E15EF">
        <w:rPr>
          <w:rFonts w:ascii="Arial" w:hAnsi="Arial" w:cs="Arial"/>
          <w:b/>
          <w:bCs/>
          <w:sz w:val="28"/>
          <w:szCs w:val="28"/>
        </w:rPr>
        <w:t xml:space="preserve"> Parte</w:t>
      </w:r>
    </w:p>
    <w:p w14:paraId="7A9A4AF3" w14:textId="0FF2FFE8" w:rsidR="007E15EF" w:rsidRDefault="007E15EF" w:rsidP="007E15EF">
      <w:pPr>
        <w:spacing w:line="360" w:lineRule="auto"/>
        <w:jc w:val="center"/>
        <w:rPr>
          <w:rFonts w:ascii="Arial" w:hAnsi="Arial" w:cs="Arial"/>
          <w:b/>
          <w:bCs/>
          <w:sz w:val="28"/>
          <w:szCs w:val="28"/>
        </w:rPr>
      </w:pPr>
      <w:r>
        <w:rPr>
          <w:rFonts w:ascii="Arial" w:hAnsi="Arial" w:cs="Arial"/>
          <w:b/>
          <w:bCs/>
          <w:sz w:val="28"/>
          <w:szCs w:val="28"/>
        </w:rPr>
        <w:t>Unidad 1: saber lo que es leer</w:t>
      </w:r>
    </w:p>
    <w:p w14:paraId="78502DEF" w14:textId="678F36E4" w:rsidR="007E15EF" w:rsidRDefault="007E15EF" w:rsidP="007E15EF">
      <w:pPr>
        <w:spacing w:line="360" w:lineRule="auto"/>
        <w:jc w:val="center"/>
        <w:rPr>
          <w:rFonts w:ascii="Arial" w:hAnsi="Arial" w:cs="Arial"/>
          <w:b/>
          <w:bCs/>
          <w:sz w:val="28"/>
          <w:szCs w:val="28"/>
        </w:rPr>
      </w:pPr>
      <w:r>
        <w:rPr>
          <w:rFonts w:ascii="Arial" w:hAnsi="Arial" w:cs="Arial"/>
          <w:b/>
          <w:bCs/>
          <w:sz w:val="28"/>
          <w:szCs w:val="28"/>
        </w:rPr>
        <w:t>Profesor Humberto Valdez Sanchez</w:t>
      </w:r>
    </w:p>
    <w:p w14:paraId="7C39C4FB" w14:textId="1DC52A6C" w:rsidR="007E15EF" w:rsidRDefault="007E15EF" w:rsidP="007E15EF">
      <w:pPr>
        <w:spacing w:line="360" w:lineRule="auto"/>
        <w:jc w:val="center"/>
        <w:rPr>
          <w:rFonts w:ascii="Arial" w:hAnsi="Arial" w:cs="Arial"/>
          <w:b/>
          <w:bCs/>
          <w:sz w:val="28"/>
          <w:szCs w:val="28"/>
        </w:rPr>
      </w:pPr>
      <w:r>
        <w:rPr>
          <w:rFonts w:ascii="Arial" w:hAnsi="Arial" w:cs="Arial"/>
          <w:b/>
          <w:bCs/>
          <w:sz w:val="28"/>
          <w:szCs w:val="28"/>
        </w:rPr>
        <w:t>Luz Estefania Monsivais Garza</w:t>
      </w:r>
    </w:p>
    <w:p w14:paraId="2FF93C9D" w14:textId="1C9237BD" w:rsidR="007E15EF" w:rsidRDefault="007E15EF" w:rsidP="007E15EF">
      <w:pPr>
        <w:spacing w:line="360" w:lineRule="auto"/>
        <w:jc w:val="center"/>
        <w:rPr>
          <w:rFonts w:ascii="Arial" w:hAnsi="Arial" w:cs="Arial"/>
          <w:b/>
          <w:bCs/>
          <w:sz w:val="28"/>
          <w:szCs w:val="28"/>
        </w:rPr>
      </w:pPr>
      <w:r>
        <w:rPr>
          <w:rFonts w:ascii="Arial" w:hAnsi="Arial" w:cs="Arial"/>
          <w:b/>
          <w:bCs/>
          <w:sz w:val="28"/>
          <w:szCs w:val="28"/>
        </w:rPr>
        <w:t>#13 2°C</w:t>
      </w:r>
    </w:p>
    <w:p w14:paraId="612CD73E" w14:textId="56692C6B" w:rsidR="007E15EF" w:rsidRDefault="007E15EF" w:rsidP="007E15EF">
      <w:pPr>
        <w:jc w:val="center"/>
        <w:rPr>
          <w:rFonts w:ascii="Arial" w:hAnsi="Arial" w:cs="Arial"/>
          <w:b/>
          <w:bCs/>
          <w:sz w:val="28"/>
          <w:szCs w:val="28"/>
        </w:rPr>
      </w:pPr>
    </w:p>
    <w:p w14:paraId="1BD9E0A9" w14:textId="108C7A6E" w:rsidR="007E15EF" w:rsidRDefault="007E15EF" w:rsidP="007E15EF">
      <w:pPr>
        <w:jc w:val="center"/>
        <w:rPr>
          <w:rFonts w:ascii="Arial" w:hAnsi="Arial" w:cs="Arial"/>
          <w:b/>
          <w:bCs/>
          <w:sz w:val="28"/>
          <w:szCs w:val="28"/>
        </w:rPr>
      </w:pPr>
    </w:p>
    <w:p w14:paraId="784188ED" w14:textId="052EEA6E" w:rsidR="007E15EF" w:rsidRDefault="007E15EF" w:rsidP="007E15EF">
      <w:pPr>
        <w:jc w:val="center"/>
        <w:rPr>
          <w:rFonts w:ascii="Arial" w:hAnsi="Arial" w:cs="Arial"/>
          <w:b/>
          <w:bCs/>
          <w:sz w:val="28"/>
          <w:szCs w:val="28"/>
        </w:rPr>
      </w:pPr>
    </w:p>
    <w:p w14:paraId="73E43B06" w14:textId="15B956CF" w:rsidR="007E15EF" w:rsidRDefault="007E15EF" w:rsidP="007E15EF">
      <w:pPr>
        <w:jc w:val="center"/>
        <w:rPr>
          <w:rFonts w:ascii="Arial" w:hAnsi="Arial" w:cs="Arial"/>
          <w:b/>
          <w:bCs/>
          <w:sz w:val="28"/>
          <w:szCs w:val="28"/>
        </w:rPr>
      </w:pPr>
    </w:p>
    <w:p w14:paraId="0243FFF8" w14:textId="05BF8C7D" w:rsidR="007E15EF" w:rsidRDefault="007E15EF" w:rsidP="007E15EF">
      <w:pPr>
        <w:jc w:val="center"/>
        <w:rPr>
          <w:rFonts w:ascii="Arial" w:hAnsi="Arial" w:cs="Arial"/>
          <w:b/>
          <w:bCs/>
          <w:sz w:val="28"/>
          <w:szCs w:val="28"/>
        </w:rPr>
      </w:pPr>
    </w:p>
    <w:p w14:paraId="207D3E27" w14:textId="7FC6251D" w:rsidR="007E15EF" w:rsidRDefault="007E15EF" w:rsidP="007E15EF">
      <w:pPr>
        <w:jc w:val="center"/>
        <w:rPr>
          <w:rFonts w:ascii="Arial" w:hAnsi="Arial" w:cs="Arial"/>
          <w:b/>
          <w:bCs/>
          <w:sz w:val="28"/>
          <w:szCs w:val="28"/>
        </w:rPr>
      </w:pPr>
    </w:p>
    <w:p w14:paraId="6F8ABB03" w14:textId="383552DC" w:rsidR="007E15EF" w:rsidRDefault="007E15EF" w:rsidP="007E15EF">
      <w:pPr>
        <w:jc w:val="center"/>
        <w:rPr>
          <w:rFonts w:ascii="Arial" w:hAnsi="Arial" w:cs="Arial"/>
          <w:b/>
          <w:bCs/>
          <w:sz w:val="28"/>
          <w:szCs w:val="28"/>
        </w:rPr>
      </w:pPr>
    </w:p>
    <w:p w14:paraId="70B883A2" w14:textId="719EC327" w:rsidR="007E15EF" w:rsidRDefault="007E15EF" w:rsidP="007E15EF">
      <w:pPr>
        <w:jc w:val="center"/>
        <w:rPr>
          <w:rFonts w:ascii="Arial" w:hAnsi="Arial" w:cs="Arial"/>
          <w:b/>
          <w:bCs/>
          <w:sz w:val="28"/>
          <w:szCs w:val="28"/>
        </w:rPr>
      </w:pPr>
    </w:p>
    <w:p w14:paraId="72B19F2F" w14:textId="2334BD32" w:rsidR="007E15EF" w:rsidRDefault="007E15EF" w:rsidP="007E15EF">
      <w:pPr>
        <w:jc w:val="center"/>
        <w:rPr>
          <w:rFonts w:ascii="Arial" w:hAnsi="Arial" w:cs="Arial"/>
          <w:b/>
          <w:bCs/>
          <w:sz w:val="28"/>
          <w:szCs w:val="28"/>
        </w:rPr>
      </w:pPr>
    </w:p>
    <w:p w14:paraId="267B7F84" w14:textId="5AAAF9A1"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lastRenderedPageBreak/>
        <w:t>Leer es un acto interpretativo que consiste en iniciar y guiar una serie de razonamientos encaminados a dos propósitos:</w:t>
      </w:r>
    </w:p>
    <w:p w14:paraId="6C378F05" w14:textId="7A5F39F0" w:rsidR="00A440EF" w:rsidRDefault="00A440EF" w:rsidP="00A440EF">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sidRPr="00A440EF">
        <w:rPr>
          <w:rFonts w:ascii="Arial" w:eastAsia="Times New Roman" w:hAnsi="Arial" w:cs="Arial"/>
          <w:color w:val="000000"/>
          <w:sz w:val="24"/>
          <w:szCs w:val="24"/>
          <w:lang w:eastAsia="es-MX"/>
        </w:rPr>
        <w:t xml:space="preserve">Saber guiar </w:t>
      </w:r>
      <w:r>
        <w:rPr>
          <w:rFonts w:ascii="Arial" w:eastAsia="Times New Roman" w:hAnsi="Arial" w:cs="Arial"/>
          <w:color w:val="000000"/>
          <w:sz w:val="24"/>
          <w:szCs w:val="24"/>
          <w:lang w:eastAsia="es-MX"/>
        </w:rPr>
        <w:t>una serie de razonamientos hacia la construcción de una interpretación del mensaje escrito a partir de la información que proporciona el texto como de los conocimientos del lector.</w:t>
      </w:r>
    </w:p>
    <w:p w14:paraId="41F4FFD1" w14:textId="36D85FC8" w:rsidR="00A440EF" w:rsidRPr="00A440EF" w:rsidRDefault="00A440EF" w:rsidP="00A440EF">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Iniciar otra serie de razonamientos para controlar el progreso de esa interpretación de tal forma que se puedan detectar las posibles incomprensiones producidas durante la lectura.</w:t>
      </w:r>
    </w:p>
    <w:p w14:paraId="09DA21A9" w14:textId="323EAB32"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El nuevo modelo de lectura establecido supone la interrelación de tres factores que deben tenerse en cuenta en su enseñanza: el lector, el texto y el contexto de la lectura. Explica c/u: </w:t>
      </w:r>
    </w:p>
    <w:p w14:paraId="293A6313" w14:textId="3628E560" w:rsidR="00A440EF" w:rsidRPr="00330686" w:rsidRDefault="00A440EF" w:rsidP="00A440EF">
      <w:pPr>
        <w:pStyle w:val="Prrafodelista"/>
        <w:numPr>
          <w:ilvl w:val="0"/>
          <w:numId w:val="12"/>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 xml:space="preserve">El lector incluye </w:t>
      </w:r>
      <w:r w:rsidR="00E77FAA">
        <w:rPr>
          <w:rFonts w:ascii="Arial" w:eastAsia="Times New Roman" w:hAnsi="Arial" w:cs="Arial"/>
          <w:color w:val="000000"/>
          <w:sz w:val="24"/>
          <w:szCs w:val="24"/>
          <w:lang w:eastAsia="es-MX"/>
        </w:rPr>
        <w:t xml:space="preserve">los conocimientos </w:t>
      </w:r>
      <w:r w:rsidR="00330686">
        <w:rPr>
          <w:rFonts w:ascii="Arial" w:eastAsia="Times New Roman" w:hAnsi="Arial" w:cs="Arial"/>
          <w:color w:val="000000"/>
          <w:sz w:val="24"/>
          <w:szCs w:val="24"/>
          <w:lang w:eastAsia="es-MX"/>
        </w:rPr>
        <w:t>que este posee en un sentido muy amplio.</w:t>
      </w:r>
    </w:p>
    <w:p w14:paraId="59F45177" w14:textId="0BFA48D6" w:rsidR="00330686" w:rsidRPr="00330686" w:rsidRDefault="00330686" w:rsidP="00A440EF">
      <w:pPr>
        <w:pStyle w:val="Prrafodelista"/>
        <w:numPr>
          <w:ilvl w:val="0"/>
          <w:numId w:val="12"/>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El texto se refiere a la intención del autor, el contenido y la forma de la organización del mensaje.</w:t>
      </w:r>
    </w:p>
    <w:p w14:paraId="1BC8F71C" w14:textId="7910ED7E" w:rsidR="00330686" w:rsidRPr="00A440EF" w:rsidRDefault="00330686" w:rsidP="00A440EF">
      <w:pPr>
        <w:pStyle w:val="Prrafodelista"/>
        <w:numPr>
          <w:ilvl w:val="0"/>
          <w:numId w:val="12"/>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El contexto comprende las condiciones de la lectura, tanto las que se fija el propio lector como las derivadas del entorno social.</w:t>
      </w:r>
    </w:p>
    <w:p w14:paraId="1C324CC1" w14:textId="73D17752"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Existen una serie de estructuras y procesos implicados en el acto de lectura. ¿Cuál es la diferencia entre ellos? </w:t>
      </w:r>
      <w:r w:rsidR="00704747">
        <w:rPr>
          <w:rFonts w:ascii="Arial" w:eastAsia="Times New Roman" w:hAnsi="Arial" w:cs="Arial"/>
          <w:color w:val="000000"/>
          <w:sz w:val="24"/>
          <w:szCs w:val="24"/>
          <w:lang w:eastAsia="es-MX"/>
        </w:rPr>
        <w:t>Las estructuras se refieren a los conocimientos y los procesos que influyen a las lecturas y en el caso de los procesos, es la interacción que se produce entre estas.</w:t>
      </w:r>
    </w:p>
    <w:p w14:paraId="585D0495" w14:textId="7A8D03D9" w:rsidR="00A440EF" w:rsidRPr="00704747"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Explica con tus propias palabras las estructuras y procesos Irwin (1986) implica en el acto de lectura: </w:t>
      </w:r>
    </w:p>
    <w:p w14:paraId="0ED999F1" w14:textId="239DAC5F" w:rsidR="00704747" w:rsidRPr="00704747" w:rsidRDefault="00704747"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Las estructuras cognitivas: engloban los conocimientos de la lengua y el mundo.</w:t>
      </w:r>
    </w:p>
    <w:p w14:paraId="72EA8BAE" w14:textId="74681F37" w:rsidR="00704747" w:rsidRPr="00704747" w:rsidRDefault="00704747"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Estructuras afectivas: se refiere a la actitud e intereses del lector.</w:t>
      </w:r>
    </w:p>
    <w:p w14:paraId="59826B88" w14:textId="12361B96" w:rsidR="00704747" w:rsidRPr="00704747" w:rsidRDefault="00704747"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Micro procesos: incluye al reconocimiento, comprensión de la información, así como una selección de la misma.</w:t>
      </w:r>
    </w:p>
    <w:p w14:paraId="6FBC5743" w14:textId="3B8FB039" w:rsidR="00704747" w:rsidRPr="00704747" w:rsidRDefault="00704747"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 xml:space="preserve">Procesos de interacción: es la ilación de las </w:t>
      </w:r>
      <w:r w:rsidR="00013DA4">
        <w:rPr>
          <w:rFonts w:ascii="Arial" w:eastAsia="Times New Roman" w:hAnsi="Arial" w:cs="Arial"/>
          <w:color w:val="000000"/>
          <w:sz w:val="24"/>
          <w:szCs w:val="24"/>
          <w:lang w:eastAsia="es-MX"/>
        </w:rPr>
        <w:t>frases,</w:t>
      </w:r>
      <w:r>
        <w:rPr>
          <w:rFonts w:ascii="Arial" w:eastAsia="Times New Roman" w:hAnsi="Arial" w:cs="Arial"/>
          <w:color w:val="000000"/>
          <w:sz w:val="24"/>
          <w:szCs w:val="24"/>
          <w:lang w:eastAsia="es-MX"/>
        </w:rPr>
        <w:t xml:space="preserve"> así como posibles deducciones sobre el texto.</w:t>
      </w:r>
    </w:p>
    <w:p w14:paraId="1273FF9B" w14:textId="126840D8" w:rsidR="00704747" w:rsidRPr="00013DA4" w:rsidRDefault="00704747"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lastRenderedPageBreak/>
        <w:t>M</w:t>
      </w:r>
      <w:r w:rsidR="00013DA4">
        <w:rPr>
          <w:rFonts w:ascii="Arial" w:eastAsia="Times New Roman" w:hAnsi="Arial" w:cs="Arial"/>
          <w:color w:val="000000"/>
          <w:sz w:val="24"/>
          <w:szCs w:val="24"/>
          <w:lang w:eastAsia="es-MX"/>
        </w:rPr>
        <w:t>acroprocesos: comprensión del texto como las relaciones dadas entre ideas.</w:t>
      </w:r>
    </w:p>
    <w:p w14:paraId="448C528B" w14:textId="32C0DD68" w:rsidR="00013DA4" w:rsidRPr="00013DA4" w:rsidRDefault="00013DA4"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Procesos de elaboración: comprende las deducciones, razonamientos, así como la imaginación.</w:t>
      </w:r>
    </w:p>
    <w:p w14:paraId="74CB2C6A" w14:textId="000345C7" w:rsidR="00013DA4" w:rsidRPr="00A440EF" w:rsidRDefault="00013DA4" w:rsidP="00704747">
      <w:pPr>
        <w:pStyle w:val="Prrafodelista"/>
        <w:numPr>
          <w:ilvl w:val="0"/>
          <w:numId w:val="13"/>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color w:val="000000"/>
          <w:sz w:val="24"/>
          <w:szCs w:val="24"/>
          <w:lang w:eastAsia="es-MX"/>
        </w:rPr>
        <w:t xml:space="preserve">Procesos metacognitivos: identificación de la falta de comprensión. </w:t>
      </w:r>
    </w:p>
    <w:p w14:paraId="549952E8" w14:textId="460597A1"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r w:rsidR="00013DA4">
        <w:rPr>
          <w:rFonts w:ascii="Arial" w:eastAsia="Times New Roman" w:hAnsi="Arial" w:cs="Arial"/>
          <w:b/>
          <w:bCs/>
          <w:color w:val="000000"/>
          <w:sz w:val="24"/>
          <w:szCs w:val="24"/>
          <w:lang w:eastAsia="es-MX"/>
        </w:rPr>
        <w:t xml:space="preserve"> </w:t>
      </w:r>
      <w:r w:rsidR="00013DA4">
        <w:rPr>
          <w:rFonts w:ascii="Arial" w:eastAsia="Times New Roman" w:hAnsi="Arial" w:cs="Arial"/>
          <w:color w:val="000000"/>
          <w:sz w:val="24"/>
          <w:szCs w:val="24"/>
          <w:lang w:eastAsia="es-MX"/>
        </w:rPr>
        <w:t>¿Qué no saben los alumnos? A una mas adecuada como lo es ¿Qué saben los alumnos?</w:t>
      </w:r>
    </w:p>
    <w:p w14:paraId="7BD6DFBD" w14:textId="51162217"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Para que un lector pueda entender un texto, ¿cuál es la proporción de información conocida y de información nueva que debe contener? </w:t>
      </w:r>
      <w:r w:rsidR="00013DA4">
        <w:rPr>
          <w:rFonts w:ascii="Arial" w:eastAsia="Times New Roman" w:hAnsi="Arial" w:cs="Arial"/>
          <w:color w:val="000000"/>
          <w:sz w:val="24"/>
          <w:szCs w:val="24"/>
          <w:lang w:eastAsia="es-MX"/>
        </w:rPr>
        <w:t>Según Irwin un texto debe contener un 80% de información conocida y un 20% de información nueva.</w:t>
      </w:r>
    </w:p>
    <w:p w14:paraId="79610330" w14:textId="3DF0860F"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Para explorar los conocimientos previos de los alumnos hay una actividad que se está generalizando en la escuela: la discusión previa del tema en el aula, sin embargo, a menudo su eficacia queda anulada porque… </w:t>
      </w:r>
      <w:r w:rsidR="00013DA4">
        <w:rPr>
          <w:rFonts w:ascii="Arial" w:eastAsia="Times New Roman" w:hAnsi="Arial" w:cs="Arial"/>
          <w:color w:val="000000"/>
          <w:sz w:val="24"/>
          <w:szCs w:val="24"/>
          <w:lang w:eastAsia="es-MX"/>
        </w:rPr>
        <w:t>los maestros incitan de manera excesiva y deriva hacia aspectos diversos de ideas y opiniones porque se desvía hacia aspectos del tema que son secundarios en el texto propuesto.</w:t>
      </w:r>
    </w:p>
    <w:p w14:paraId="0FF463AF" w14:textId="77777777"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La rutina de intervención para preparar a los alumnos para una lectura varía en función del tipo de texto: </w:t>
      </w:r>
    </w:p>
    <w:p w14:paraId="5929AF9A" w14:textId="61B70A8E" w:rsidR="00A440EF" w:rsidRPr="00A440EF" w:rsidRDefault="00A440EF" w:rsidP="00A440EF">
      <w:pPr>
        <w:pStyle w:val="Prrafodelista"/>
        <w:numPr>
          <w:ilvl w:val="0"/>
          <w:numId w:val="10"/>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En los textos narrativos: </w:t>
      </w:r>
      <w:r w:rsidR="00013DA4">
        <w:rPr>
          <w:rFonts w:ascii="Arial" w:eastAsia="Times New Roman" w:hAnsi="Arial" w:cs="Arial"/>
          <w:color w:val="000000"/>
          <w:sz w:val="24"/>
          <w:szCs w:val="24"/>
          <w:lang w:eastAsia="es-MX"/>
        </w:rPr>
        <w:t xml:space="preserve">la preparación </w:t>
      </w:r>
      <w:r w:rsidR="0065663E">
        <w:rPr>
          <w:rFonts w:ascii="Arial" w:eastAsia="Times New Roman" w:hAnsi="Arial" w:cs="Arial"/>
          <w:color w:val="000000"/>
          <w:sz w:val="24"/>
          <w:szCs w:val="24"/>
          <w:lang w:eastAsia="es-MX"/>
        </w:rPr>
        <w:t xml:space="preserve">mas efectiva es la utilización de técnicos orales que susciten la intriga, ofrezcan una breve sinopsis de la historia y motiven la predicción. </w:t>
      </w:r>
    </w:p>
    <w:p w14:paraId="549AAB93" w14:textId="5EEE91DC" w:rsidR="00A440EF" w:rsidRPr="00A440EF" w:rsidRDefault="00A440EF" w:rsidP="00A440EF">
      <w:pPr>
        <w:pStyle w:val="Prrafodelista"/>
        <w:numPr>
          <w:ilvl w:val="0"/>
          <w:numId w:val="10"/>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t>En los textos informativos: </w:t>
      </w:r>
      <w:r w:rsidR="0065663E">
        <w:rPr>
          <w:rFonts w:ascii="Arial" w:eastAsia="Times New Roman" w:hAnsi="Arial" w:cs="Arial"/>
          <w:color w:val="000000"/>
          <w:sz w:val="24"/>
          <w:szCs w:val="24"/>
          <w:lang w:eastAsia="es-MX"/>
        </w:rPr>
        <w:t>parece más adecuada la exploración de las palabras claves, la formulación de hipótesis sobre los fenómenos tratados y la advertencia sobre las posibles discrepancias.</w:t>
      </w:r>
    </w:p>
    <w:p w14:paraId="2FE9A466" w14:textId="25E466A5" w:rsidR="00A440EF" w:rsidRPr="00A440EF" w:rsidRDefault="00A440EF" w:rsidP="00A440EF">
      <w:pPr>
        <w:pStyle w:val="Prrafodelista"/>
        <w:numPr>
          <w:ilvl w:val="0"/>
          <w:numId w:val="9"/>
        </w:numPr>
        <w:spacing w:before="100" w:beforeAutospacing="1" w:after="100" w:afterAutospacing="1" w:line="360" w:lineRule="auto"/>
        <w:rPr>
          <w:rFonts w:ascii="Verdana" w:eastAsia="Times New Roman" w:hAnsi="Verdana" w:cs="Times New Roman"/>
          <w:b/>
          <w:bCs/>
          <w:color w:val="000000"/>
          <w:sz w:val="24"/>
          <w:szCs w:val="24"/>
          <w:lang w:eastAsia="es-MX"/>
        </w:rPr>
      </w:pPr>
      <w:r w:rsidRPr="00A440EF">
        <w:rPr>
          <w:rFonts w:ascii="Arial" w:eastAsia="Times New Roman" w:hAnsi="Arial" w:cs="Arial"/>
          <w:b/>
          <w:bCs/>
          <w:color w:val="000000"/>
          <w:sz w:val="24"/>
          <w:szCs w:val="24"/>
          <w:lang w:eastAsia="es-MX"/>
        </w:rPr>
        <w:lastRenderedPageBreak/>
        <w:t>Es muy importante la lectura en la adquisición del léxico, debería ser una razón más para fomentar la lectura individual. Existen dos maneras en que los maestros les pueden enseñar a los alumnos el significado de nuevas palabras. ¿Cuál es mejor?</w:t>
      </w:r>
      <w:r w:rsidR="0065663E">
        <w:rPr>
          <w:rFonts w:ascii="Arial" w:eastAsia="Times New Roman" w:hAnsi="Arial" w:cs="Arial"/>
          <w:b/>
          <w:bCs/>
          <w:color w:val="000000"/>
          <w:sz w:val="24"/>
          <w:szCs w:val="24"/>
          <w:lang w:eastAsia="es-MX"/>
        </w:rPr>
        <w:t xml:space="preserve"> </w:t>
      </w:r>
      <w:r w:rsidR="0065663E">
        <w:rPr>
          <w:rFonts w:ascii="Arial" w:eastAsia="Times New Roman" w:hAnsi="Arial" w:cs="Arial"/>
          <w:color w:val="000000"/>
          <w:sz w:val="24"/>
          <w:szCs w:val="24"/>
          <w:lang w:eastAsia="es-MX"/>
        </w:rPr>
        <w:t>Que los maestros reconozcan la importancia de la lectura en la adquisición del lexico.</w:t>
      </w:r>
    </w:p>
    <w:p w14:paraId="47275D4A" w14:textId="3154A583" w:rsidR="007E15EF" w:rsidRPr="007E15EF" w:rsidRDefault="007E15EF" w:rsidP="007E15EF">
      <w:pPr>
        <w:spacing w:before="100" w:beforeAutospacing="1" w:after="120" w:line="240" w:lineRule="auto"/>
        <w:rPr>
          <w:rFonts w:ascii="Verdana" w:eastAsia="Times New Roman" w:hAnsi="Verdana" w:cs="Times New Roman"/>
          <w:color w:val="000000"/>
          <w:sz w:val="24"/>
          <w:szCs w:val="24"/>
          <w:lang w:eastAsia="es-MX"/>
        </w:rPr>
      </w:pPr>
    </w:p>
    <w:p w14:paraId="1E30B6A6" w14:textId="77777777" w:rsidR="007E15EF" w:rsidRPr="007E15EF" w:rsidRDefault="007E15EF" w:rsidP="007E15EF">
      <w:pPr>
        <w:rPr>
          <w:rFonts w:ascii="Arial" w:hAnsi="Arial" w:cs="Arial"/>
          <w:b/>
          <w:bCs/>
          <w:sz w:val="24"/>
          <w:szCs w:val="24"/>
        </w:rPr>
      </w:pPr>
    </w:p>
    <w:p w14:paraId="0DB80A14" w14:textId="68675796" w:rsidR="007E15EF" w:rsidRDefault="007E15EF" w:rsidP="007E15EF">
      <w:pPr>
        <w:jc w:val="center"/>
        <w:rPr>
          <w:rFonts w:ascii="Arial" w:hAnsi="Arial" w:cs="Arial"/>
          <w:b/>
          <w:bCs/>
          <w:sz w:val="28"/>
          <w:szCs w:val="28"/>
        </w:rPr>
      </w:pPr>
    </w:p>
    <w:p w14:paraId="5F9809C7" w14:textId="66BC13E6" w:rsidR="007E15EF" w:rsidRDefault="007E15EF" w:rsidP="007E15EF">
      <w:pPr>
        <w:jc w:val="center"/>
        <w:rPr>
          <w:rFonts w:ascii="Arial" w:hAnsi="Arial" w:cs="Arial"/>
          <w:b/>
          <w:bCs/>
          <w:sz w:val="28"/>
          <w:szCs w:val="28"/>
        </w:rPr>
      </w:pPr>
    </w:p>
    <w:p w14:paraId="58543B04" w14:textId="77777777" w:rsidR="007E15EF" w:rsidRPr="007E15EF" w:rsidRDefault="007E15EF" w:rsidP="007E15EF">
      <w:pPr>
        <w:jc w:val="center"/>
        <w:rPr>
          <w:rFonts w:ascii="Arial" w:hAnsi="Arial" w:cs="Arial"/>
          <w:b/>
          <w:bCs/>
          <w:sz w:val="28"/>
          <w:szCs w:val="28"/>
        </w:rPr>
      </w:pPr>
    </w:p>
    <w:sectPr w:rsidR="007E15EF" w:rsidRPr="007E15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11E"/>
    <w:multiLevelType w:val="hybridMultilevel"/>
    <w:tmpl w:val="2CA03C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231641"/>
    <w:multiLevelType w:val="hybridMultilevel"/>
    <w:tmpl w:val="C8F26D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6300094"/>
    <w:multiLevelType w:val="hybridMultilevel"/>
    <w:tmpl w:val="E4529E68"/>
    <w:lvl w:ilvl="0" w:tplc="9314C8EE">
      <w:start w:val="10"/>
      <w:numFmt w:val="decimal"/>
      <w:lvlText w:val="%1."/>
      <w:lvlJc w:val="left"/>
      <w:pPr>
        <w:ind w:left="780" w:hanging="360"/>
      </w:pPr>
      <w:rPr>
        <w:rFonts w:ascii="Arial" w:hAnsi="Arial" w:cs="Arial"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07172FE8"/>
    <w:multiLevelType w:val="hybridMultilevel"/>
    <w:tmpl w:val="24AEB0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E68CD"/>
    <w:multiLevelType w:val="hybridMultilevel"/>
    <w:tmpl w:val="BEB229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762490"/>
    <w:multiLevelType w:val="hybridMultilevel"/>
    <w:tmpl w:val="CF243BD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2DA01305"/>
    <w:multiLevelType w:val="hybridMultilevel"/>
    <w:tmpl w:val="BB5A204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7" w15:restartNumberingAfterBreak="0">
    <w:nsid w:val="3DD002C2"/>
    <w:multiLevelType w:val="hybridMultilevel"/>
    <w:tmpl w:val="DA5E04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CF22EE8"/>
    <w:multiLevelType w:val="hybridMultilevel"/>
    <w:tmpl w:val="7758EA3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9" w15:restartNumberingAfterBreak="0">
    <w:nsid w:val="4F7B7573"/>
    <w:multiLevelType w:val="hybridMultilevel"/>
    <w:tmpl w:val="3B34A9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2925045"/>
    <w:multiLevelType w:val="hybridMultilevel"/>
    <w:tmpl w:val="7D56EED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15:restartNumberingAfterBreak="0">
    <w:nsid w:val="71AA5E09"/>
    <w:multiLevelType w:val="hybridMultilevel"/>
    <w:tmpl w:val="B5808AC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2" w15:restartNumberingAfterBreak="0">
    <w:nsid w:val="77F71FE6"/>
    <w:multiLevelType w:val="hybridMultilevel"/>
    <w:tmpl w:val="CD70C2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
  </w:num>
  <w:num w:numId="4">
    <w:abstractNumId w:val="7"/>
  </w:num>
  <w:num w:numId="5">
    <w:abstractNumId w:val="4"/>
  </w:num>
  <w:num w:numId="6">
    <w:abstractNumId w:val="9"/>
  </w:num>
  <w:num w:numId="7">
    <w:abstractNumId w:val="0"/>
  </w:num>
  <w:num w:numId="8">
    <w:abstractNumId w:val="10"/>
  </w:num>
  <w:num w:numId="9">
    <w:abstractNumId w:val="2"/>
  </w:num>
  <w:num w:numId="10">
    <w:abstractNumId w:val="6"/>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EF"/>
    <w:rsid w:val="00013DA4"/>
    <w:rsid w:val="00024810"/>
    <w:rsid w:val="000F0512"/>
    <w:rsid w:val="001920C0"/>
    <w:rsid w:val="00250068"/>
    <w:rsid w:val="002D234A"/>
    <w:rsid w:val="002F2BE2"/>
    <w:rsid w:val="002F44ED"/>
    <w:rsid w:val="00330686"/>
    <w:rsid w:val="00341122"/>
    <w:rsid w:val="003A0470"/>
    <w:rsid w:val="004A11D9"/>
    <w:rsid w:val="005B692C"/>
    <w:rsid w:val="0065663E"/>
    <w:rsid w:val="00704747"/>
    <w:rsid w:val="00744771"/>
    <w:rsid w:val="007E15EF"/>
    <w:rsid w:val="00940963"/>
    <w:rsid w:val="00A440EF"/>
    <w:rsid w:val="00B668A8"/>
    <w:rsid w:val="00CC4979"/>
    <w:rsid w:val="00D175E0"/>
    <w:rsid w:val="00D51D33"/>
    <w:rsid w:val="00D839DB"/>
    <w:rsid w:val="00E77FAA"/>
    <w:rsid w:val="00E84DAA"/>
    <w:rsid w:val="00F15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8E8D"/>
  <w15:chartTrackingRefBased/>
  <w15:docId w15:val="{BDEC124C-F591-47AE-8EAE-27F85463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2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6764">
      <w:bodyDiv w:val="1"/>
      <w:marLeft w:val="0"/>
      <w:marRight w:val="0"/>
      <w:marTop w:val="0"/>
      <w:marBottom w:val="0"/>
      <w:divBdr>
        <w:top w:val="none" w:sz="0" w:space="0" w:color="auto"/>
        <w:left w:val="none" w:sz="0" w:space="0" w:color="auto"/>
        <w:bottom w:val="none" w:sz="0" w:space="0" w:color="auto"/>
        <w:right w:val="none" w:sz="0" w:space="0" w:color="auto"/>
      </w:divBdr>
    </w:div>
    <w:div w:id="1609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622</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2021-04-14T02:09:00Z</dcterms:created>
  <dcterms:modified xsi:type="dcterms:W3CDTF">2021-04-17T00:53:00Z</dcterms:modified>
</cp:coreProperties>
</file>