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3" o:title="Pergamino" type="tile"/>
    </v:background>
  </w:background>
  <w:body>
    <w:tbl>
      <w:tblPr>
        <w:tblStyle w:val="Tablaconcuadrcula"/>
        <w:tblpPr w:leftFromText="141" w:rightFromText="141" w:vertAnchor="page" w:horzAnchor="margin" w:tblpY="1441"/>
        <w:tblW w:w="14539" w:type="dxa"/>
        <w:tblLayout w:type="fixed"/>
        <w:tblLook w:val="04A0" w:firstRow="1" w:lastRow="0" w:firstColumn="1" w:lastColumn="0" w:noHBand="0" w:noVBand="1"/>
      </w:tblPr>
      <w:tblGrid>
        <w:gridCol w:w="1511"/>
        <w:gridCol w:w="1944"/>
        <w:gridCol w:w="973"/>
        <w:gridCol w:w="973"/>
        <w:gridCol w:w="1166"/>
        <w:gridCol w:w="2528"/>
        <w:gridCol w:w="2528"/>
        <w:gridCol w:w="2916"/>
      </w:tblGrid>
      <w:tr w:rsidR="00872A2D" w:rsidRPr="004C7FF5" w:rsidTr="00872A2D">
        <w:trPr>
          <w:trHeight w:val="1543"/>
        </w:trPr>
        <w:tc>
          <w:tcPr>
            <w:tcW w:w="3455" w:type="dxa"/>
            <w:gridSpan w:val="2"/>
          </w:tcPr>
          <w:p w:rsidR="00872A2D" w:rsidRPr="00DC339B" w:rsidRDefault="00872A2D" w:rsidP="00872A2D">
            <w:pPr>
              <w:pStyle w:val="Default"/>
              <w:jc w:val="center"/>
              <w:rPr>
                <w:rFonts w:asciiTheme="minorHAnsi" w:hAnsiTheme="minorHAnsi"/>
                <w:b/>
                <w:bCs/>
                <w:sz w:val="22"/>
                <w:szCs w:val="22"/>
              </w:rPr>
            </w:pPr>
            <w:r w:rsidRPr="00DC339B">
              <w:rPr>
                <w:rFonts w:asciiTheme="minorHAnsi" w:hAnsiTheme="minorHAnsi"/>
                <w:b/>
                <w:bCs/>
                <w:sz w:val="22"/>
                <w:szCs w:val="22"/>
              </w:rPr>
              <w:t>Aprendizajes Clave</w:t>
            </w:r>
          </w:p>
          <w:p w:rsidR="00872A2D" w:rsidRPr="004C7FF5" w:rsidRDefault="00DC339B" w:rsidP="00872A2D">
            <w:pPr>
              <w:pStyle w:val="Default"/>
              <w:rPr>
                <w:rFonts w:asciiTheme="minorHAnsi" w:hAnsiTheme="minorHAnsi"/>
                <w:sz w:val="22"/>
                <w:szCs w:val="22"/>
              </w:rPr>
            </w:pPr>
            <w:r w:rsidRPr="00DC339B">
              <w:rPr>
                <w:i/>
                <w:iCs/>
              </w:rPr>
              <w:t>Cada Aprendizaje esperado define lo que se busca que logren los estudiantes al finalizar el grado escolar,90 son las metas de aprendizaje de los alumnos, están redactados en la tercera persona del singular con el fin de poner al estudiante en el centro del proceso. Su planteamiento comienza con un verbo que indica la acción a constatar, por parte del profesor, y de la cual es necesario que obtenga evidencias para poder valorar el desempeño de cada estudiante</w:t>
            </w:r>
            <w:r>
              <w:t>.</w:t>
            </w:r>
          </w:p>
        </w:tc>
        <w:tc>
          <w:tcPr>
            <w:tcW w:w="3112" w:type="dxa"/>
            <w:gridSpan w:val="3"/>
          </w:tcPr>
          <w:p w:rsidR="00872A2D" w:rsidRPr="00DC339B" w:rsidRDefault="00872A2D" w:rsidP="00872A2D">
            <w:pPr>
              <w:pStyle w:val="Default"/>
              <w:jc w:val="center"/>
              <w:rPr>
                <w:rFonts w:asciiTheme="minorHAnsi" w:hAnsiTheme="minorHAnsi"/>
                <w:b/>
                <w:bCs/>
                <w:sz w:val="22"/>
                <w:szCs w:val="22"/>
              </w:rPr>
            </w:pPr>
            <w:r w:rsidRPr="00DC339B">
              <w:rPr>
                <w:rFonts w:asciiTheme="minorHAnsi" w:hAnsiTheme="minorHAnsi"/>
                <w:b/>
                <w:bCs/>
                <w:sz w:val="22"/>
                <w:szCs w:val="22"/>
              </w:rPr>
              <w:t>Aprendizajes esperados</w:t>
            </w:r>
          </w:p>
          <w:p w:rsidR="00872A2D" w:rsidRPr="00DC339B" w:rsidRDefault="00DC339B" w:rsidP="00872A2D">
            <w:pPr>
              <w:pStyle w:val="Default"/>
              <w:rPr>
                <w:rFonts w:asciiTheme="minorHAnsi" w:hAnsiTheme="minorHAnsi"/>
                <w:b/>
                <w:bCs/>
                <w:i/>
                <w:iCs/>
                <w:sz w:val="22"/>
                <w:szCs w:val="22"/>
              </w:rPr>
            </w:pPr>
            <w:r w:rsidRPr="00DC339B">
              <w:rPr>
                <w:i/>
                <w:iCs/>
              </w:rPr>
              <w:t>Los Aprendizajes esperados de los tres niveles educativos se organizan con base en las mismas categorías, denominadas organizadores curriculares, esto con la intención de mostrar el trayecto formativo de los niños, desde que entran al preescolar y hasta que salen de la escuela secundaria, a efecto de dejar clara la progresión y la articulación de los aprendizajes a lo largo de la educación básica.</w:t>
            </w:r>
          </w:p>
        </w:tc>
        <w:tc>
          <w:tcPr>
            <w:tcW w:w="2528" w:type="dxa"/>
          </w:tcPr>
          <w:p w:rsidR="00872A2D" w:rsidRPr="00DC339B" w:rsidRDefault="00872A2D" w:rsidP="00872A2D">
            <w:pPr>
              <w:pStyle w:val="Default"/>
              <w:jc w:val="center"/>
              <w:rPr>
                <w:rFonts w:asciiTheme="minorHAnsi" w:hAnsiTheme="minorHAnsi"/>
                <w:b/>
                <w:bCs/>
                <w:sz w:val="22"/>
                <w:szCs w:val="22"/>
              </w:rPr>
            </w:pPr>
            <w:r w:rsidRPr="00DC339B">
              <w:rPr>
                <w:rFonts w:asciiTheme="minorHAnsi" w:hAnsiTheme="minorHAnsi"/>
                <w:b/>
                <w:bCs/>
                <w:sz w:val="22"/>
                <w:szCs w:val="22"/>
              </w:rPr>
              <w:t>Nivel de profundidad</w:t>
            </w:r>
          </w:p>
          <w:p w:rsidR="00872A2D" w:rsidRPr="00DC339B" w:rsidRDefault="00DC339B" w:rsidP="00872A2D">
            <w:pPr>
              <w:pStyle w:val="Default"/>
              <w:rPr>
                <w:rFonts w:asciiTheme="minorHAnsi" w:hAnsiTheme="minorHAnsi"/>
                <w:b/>
                <w:bCs/>
                <w:sz w:val="22"/>
                <w:szCs w:val="22"/>
              </w:rPr>
            </w:pPr>
            <w:r w:rsidRPr="00DC339B">
              <w:rPr>
                <w:i/>
                <w:iCs/>
              </w:rPr>
              <w:t>La evaluación debe proporcionar evidencias de los niveles de competencia lograda por los estudiantes normalistas a través del seguimiento de sus producciones, esto favorecerá la realización de ajustes a las actividades de enseñanza de acuerdo con las características de los estudiantes. Las estrategias utilizadas tendrán que asegurar profundidad y calidad, es relevante que en estos procesos, los estudiantes normalistas autoevalúen sus aprendizajes y reflexiones sobre las ideas propuestas por los otros</w:t>
            </w:r>
            <w:r>
              <w:t>.</w:t>
            </w:r>
          </w:p>
        </w:tc>
        <w:tc>
          <w:tcPr>
            <w:tcW w:w="2528" w:type="dxa"/>
          </w:tcPr>
          <w:p w:rsidR="00872A2D" w:rsidRPr="00DC339B" w:rsidRDefault="00872A2D" w:rsidP="00872A2D">
            <w:pPr>
              <w:pStyle w:val="Default"/>
              <w:jc w:val="center"/>
              <w:rPr>
                <w:rFonts w:asciiTheme="minorHAnsi" w:hAnsiTheme="minorHAnsi"/>
                <w:b/>
                <w:bCs/>
                <w:sz w:val="22"/>
                <w:szCs w:val="22"/>
              </w:rPr>
            </w:pPr>
            <w:r w:rsidRPr="00DC339B">
              <w:rPr>
                <w:rFonts w:asciiTheme="minorHAnsi" w:hAnsiTheme="minorHAnsi"/>
                <w:b/>
                <w:bCs/>
                <w:sz w:val="22"/>
                <w:szCs w:val="22"/>
              </w:rPr>
              <w:t>Qué deben saber</w:t>
            </w:r>
          </w:p>
          <w:p w:rsidR="00872A2D" w:rsidRPr="00DC339B" w:rsidRDefault="00714F8E" w:rsidP="00872A2D">
            <w:pPr>
              <w:pStyle w:val="Default"/>
              <w:rPr>
                <w:rFonts w:asciiTheme="minorHAnsi" w:hAnsiTheme="minorHAnsi"/>
                <w:b/>
                <w:bCs/>
                <w:sz w:val="22"/>
                <w:szCs w:val="22"/>
              </w:rPr>
            </w:pPr>
            <w:r>
              <w:t>s Tienen en cuenta las etapas de desarrollo psicopedagógico de niños y adolescentes. s Señalan con claridad las expectativas de aprendizaje de los alumnos en términos de conocimientos, habilidades, actitudes y valores. s Están planteados para ser logrados al finalizar cada grado escolar. s Están organizados de manera progresiva, en coherencia con las distintas áreas del conocimiento y los niveles educativos.</w:t>
            </w:r>
          </w:p>
        </w:tc>
        <w:tc>
          <w:tcPr>
            <w:tcW w:w="2916" w:type="dxa"/>
          </w:tcPr>
          <w:p w:rsidR="00872A2D" w:rsidRPr="00DC339B" w:rsidRDefault="00872A2D" w:rsidP="00872A2D">
            <w:pPr>
              <w:pStyle w:val="Default"/>
              <w:jc w:val="center"/>
              <w:rPr>
                <w:rFonts w:asciiTheme="minorHAnsi" w:hAnsiTheme="minorHAnsi"/>
                <w:b/>
                <w:bCs/>
                <w:sz w:val="22"/>
                <w:szCs w:val="22"/>
              </w:rPr>
            </w:pPr>
            <w:r w:rsidRPr="00DC339B">
              <w:rPr>
                <w:rFonts w:asciiTheme="minorHAnsi" w:hAnsiTheme="minorHAnsi"/>
                <w:b/>
                <w:bCs/>
                <w:sz w:val="22"/>
                <w:szCs w:val="22"/>
              </w:rPr>
              <w:t>Qué deben saber hacer</w:t>
            </w:r>
          </w:p>
          <w:p w:rsidR="00872A2D" w:rsidRPr="00DC339B" w:rsidRDefault="00872A2D" w:rsidP="00872A2D">
            <w:pPr>
              <w:pStyle w:val="Default"/>
              <w:rPr>
                <w:rFonts w:asciiTheme="minorHAnsi" w:hAnsiTheme="minorHAnsi"/>
                <w:b/>
                <w:bCs/>
                <w:sz w:val="22"/>
                <w:szCs w:val="22"/>
              </w:rPr>
            </w:pPr>
          </w:p>
        </w:tc>
      </w:tr>
      <w:tr w:rsidR="00872A2D" w:rsidRPr="004C7FF5" w:rsidTr="00872A2D">
        <w:trPr>
          <w:trHeight w:val="1550"/>
        </w:trPr>
        <w:tc>
          <w:tcPr>
            <w:tcW w:w="1511" w:type="dxa"/>
          </w:tcPr>
          <w:p w:rsidR="00872A2D" w:rsidRDefault="00872A2D" w:rsidP="00872A2D">
            <w:pPr>
              <w:pStyle w:val="Default"/>
              <w:jc w:val="center"/>
              <w:rPr>
                <w:rFonts w:asciiTheme="minorHAnsi" w:hAnsiTheme="minorHAnsi"/>
                <w:sz w:val="22"/>
                <w:szCs w:val="22"/>
              </w:rPr>
            </w:pPr>
            <w:r w:rsidRPr="004C7FF5">
              <w:rPr>
                <w:rFonts w:asciiTheme="minorHAnsi" w:hAnsiTheme="minorHAnsi"/>
                <w:sz w:val="22"/>
                <w:szCs w:val="22"/>
              </w:rPr>
              <w:t>Eje</w:t>
            </w:r>
          </w:p>
          <w:p w:rsidR="00872A2D" w:rsidRPr="004C7FF5" w:rsidRDefault="00872A2D" w:rsidP="00872A2D">
            <w:pPr>
              <w:pStyle w:val="Default"/>
              <w:rPr>
                <w:rFonts w:asciiTheme="minorHAnsi" w:hAnsiTheme="minorHAnsi"/>
                <w:sz w:val="22"/>
                <w:szCs w:val="22"/>
              </w:rPr>
            </w:pPr>
          </w:p>
        </w:tc>
        <w:tc>
          <w:tcPr>
            <w:tcW w:w="1944" w:type="dxa"/>
          </w:tcPr>
          <w:p w:rsidR="00872A2D" w:rsidRDefault="00872A2D" w:rsidP="00872A2D">
            <w:pPr>
              <w:pStyle w:val="Default"/>
              <w:jc w:val="center"/>
              <w:rPr>
                <w:rFonts w:asciiTheme="minorHAnsi" w:hAnsiTheme="minorHAnsi"/>
                <w:sz w:val="22"/>
                <w:szCs w:val="22"/>
              </w:rPr>
            </w:pPr>
            <w:r w:rsidRPr="004C7FF5">
              <w:rPr>
                <w:rFonts w:asciiTheme="minorHAnsi" w:hAnsiTheme="minorHAnsi"/>
                <w:sz w:val="22"/>
                <w:szCs w:val="22"/>
              </w:rPr>
              <w:t>Tema</w:t>
            </w:r>
          </w:p>
          <w:p w:rsidR="00872A2D" w:rsidRPr="004C7FF5" w:rsidRDefault="00872A2D" w:rsidP="00872A2D">
            <w:pPr>
              <w:pStyle w:val="Default"/>
              <w:rPr>
                <w:rFonts w:asciiTheme="minorHAnsi" w:hAnsiTheme="minorHAnsi"/>
                <w:sz w:val="22"/>
                <w:szCs w:val="22"/>
              </w:rPr>
            </w:pPr>
          </w:p>
        </w:tc>
        <w:tc>
          <w:tcPr>
            <w:tcW w:w="973" w:type="dxa"/>
          </w:tcPr>
          <w:p w:rsidR="00872A2D" w:rsidRDefault="00872A2D" w:rsidP="00872A2D">
            <w:pPr>
              <w:pStyle w:val="Default"/>
              <w:jc w:val="center"/>
              <w:rPr>
                <w:rFonts w:asciiTheme="minorHAnsi" w:hAnsiTheme="minorHAnsi"/>
                <w:sz w:val="22"/>
                <w:szCs w:val="22"/>
              </w:rPr>
            </w:pPr>
            <w:r w:rsidRPr="004C7FF5">
              <w:rPr>
                <w:rFonts w:asciiTheme="minorHAnsi" w:hAnsiTheme="minorHAnsi"/>
                <w:sz w:val="22"/>
                <w:szCs w:val="22"/>
              </w:rPr>
              <w:t>1er año</w:t>
            </w:r>
          </w:p>
          <w:p w:rsidR="00872A2D" w:rsidRPr="004C7FF5" w:rsidRDefault="00F61BAD" w:rsidP="00872A2D">
            <w:pPr>
              <w:pStyle w:val="Default"/>
              <w:rPr>
                <w:rFonts w:asciiTheme="minorHAnsi" w:hAnsiTheme="minorHAnsi"/>
                <w:sz w:val="22"/>
                <w:szCs w:val="22"/>
              </w:rPr>
            </w:pPr>
            <w:r w:rsidRPr="00F61BAD">
              <w:rPr>
                <w:rFonts w:asciiTheme="minorHAnsi" w:hAnsiTheme="minorHAnsi"/>
                <w:sz w:val="22"/>
                <w:szCs w:val="22"/>
                <w:highlight w:val="yellow"/>
              </w:rPr>
              <w:t>……</w:t>
            </w:r>
          </w:p>
        </w:tc>
        <w:tc>
          <w:tcPr>
            <w:tcW w:w="973" w:type="dxa"/>
          </w:tcPr>
          <w:p w:rsidR="00872A2D" w:rsidRDefault="00872A2D" w:rsidP="00872A2D">
            <w:pPr>
              <w:pStyle w:val="Default"/>
              <w:jc w:val="center"/>
              <w:rPr>
                <w:rFonts w:asciiTheme="minorHAnsi" w:hAnsiTheme="minorHAnsi"/>
                <w:sz w:val="22"/>
                <w:szCs w:val="22"/>
              </w:rPr>
            </w:pPr>
            <w:r w:rsidRPr="004C7FF5">
              <w:rPr>
                <w:rFonts w:asciiTheme="minorHAnsi" w:hAnsiTheme="minorHAnsi"/>
                <w:sz w:val="22"/>
                <w:szCs w:val="22"/>
              </w:rPr>
              <w:t>2° año</w:t>
            </w:r>
          </w:p>
          <w:p w:rsidR="00872A2D" w:rsidRPr="004C7FF5" w:rsidRDefault="00F61BAD" w:rsidP="00872A2D">
            <w:pPr>
              <w:pStyle w:val="Default"/>
              <w:rPr>
                <w:rFonts w:asciiTheme="minorHAnsi" w:hAnsiTheme="minorHAnsi"/>
                <w:sz w:val="22"/>
                <w:szCs w:val="22"/>
              </w:rPr>
            </w:pPr>
            <w:r w:rsidRPr="00F61BAD">
              <w:rPr>
                <w:rFonts w:asciiTheme="minorHAnsi" w:hAnsiTheme="minorHAnsi"/>
                <w:sz w:val="22"/>
                <w:szCs w:val="22"/>
                <w:highlight w:val="yellow"/>
              </w:rPr>
              <w:t>…….</w:t>
            </w:r>
          </w:p>
        </w:tc>
        <w:tc>
          <w:tcPr>
            <w:tcW w:w="1166" w:type="dxa"/>
          </w:tcPr>
          <w:p w:rsidR="00872A2D" w:rsidRDefault="00872A2D" w:rsidP="00872A2D">
            <w:pPr>
              <w:pStyle w:val="Default"/>
              <w:jc w:val="center"/>
              <w:rPr>
                <w:rFonts w:asciiTheme="minorHAnsi" w:hAnsiTheme="minorHAnsi"/>
                <w:sz w:val="22"/>
                <w:szCs w:val="22"/>
              </w:rPr>
            </w:pPr>
            <w:r>
              <w:rPr>
                <w:rFonts w:asciiTheme="minorHAnsi" w:hAnsiTheme="minorHAnsi"/>
                <w:sz w:val="22"/>
                <w:szCs w:val="22"/>
              </w:rPr>
              <w:t xml:space="preserve">3er </w:t>
            </w:r>
            <w:r w:rsidRPr="004C7FF5">
              <w:rPr>
                <w:rFonts w:asciiTheme="minorHAnsi" w:hAnsiTheme="minorHAnsi"/>
                <w:sz w:val="22"/>
                <w:szCs w:val="22"/>
              </w:rPr>
              <w:t>año</w:t>
            </w:r>
          </w:p>
          <w:p w:rsidR="00872A2D" w:rsidRPr="004C7FF5" w:rsidRDefault="00F61BAD" w:rsidP="00872A2D">
            <w:pPr>
              <w:pStyle w:val="Default"/>
              <w:rPr>
                <w:rFonts w:asciiTheme="minorHAnsi" w:hAnsiTheme="minorHAnsi"/>
                <w:sz w:val="22"/>
                <w:szCs w:val="22"/>
              </w:rPr>
            </w:pPr>
            <w:r w:rsidRPr="00F61BAD">
              <w:rPr>
                <w:rFonts w:asciiTheme="minorHAnsi" w:hAnsiTheme="minorHAnsi"/>
                <w:sz w:val="22"/>
                <w:szCs w:val="22"/>
                <w:highlight w:val="yellow"/>
              </w:rPr>
              <w:t>…….</w:t>
            </w:r>
          </w:p>
        </w:tc>
        <w:tc>
          <w:tcPr>
            <w:tcW w:w="2528" w:type="dxa"/>
          </w:tcPr>
          <w:p w:rsidR="00872A2D" w:rsidRPr="004C7FF5" w:rsidRDefault="00872A2D" w:rsidP="00872A2D"/>
        </w:tc>
        <w:tc>
          <w:tcPr>
            <w:tcW w:w="2528" w:type="dxa"/>
          </w:tcPr>
          <w:p w:rsidR="00872A2D" w:rsidRPr="004C7FF5" w:rsidRDefault="00872A2D" w:rsidP="00872A2D"/>
        </w:tc>
        <w:tc>
          <w:tcPr>
            <w:tcW w:w="2916" w:type="dxa"/>
          </w:tcPr>
          <w:p w:rsidR="00872A2D" w:rsidRPr="004C7FF5" w:rsidRDefault="00872A2D" w:rsidP="00872A2D"/>
        </w:tc>
      </w:tr>
      <w:tr w:rsidR="00691FA3" w:rsidRPr="00691FA3" w:rsidTr="00872A2D">
        <w:trPr>
          <w:trHeight w:val="1700"/>
        </w:trPr>
        <w:tc>
          <w:tcPr>
            <w:tcW w:w="1511" w:type="dxa"/>
            <w:vMerge w:val="restart"/>
          </w:tcPr>
          <w:p w:rsidR="00872A2D" w:rsidRPr="00691FA3" w:rsidRDefault="00872A2D" w:rsidP="00872A2D">
            <w:pPr>
              <w:pStyle w:val="Default"/>
              <w:jc w:val="center"/>
              <w:rPr>
                <w:rFonts w:asciiTheme="minorHAnsi" w:hAnsiTheme="minorHAnsi"/>
                <w:color w:val="FF0000"/>
                <w:sz w:val="22"/>
                <w:szCs w:val="22"/>
              </w:rPr>
            </w:pPr>
            <w:r w:rsidRPr="00691FA3">
              <w:rPr>
                <w:rFonts w:asciiTheme="minorHAnsi" w:hAnsiTheme="minorHAnsi"/>
                <w:color w:val="FF0000"/>
                <w:sz w:val="22"/>
                <w:szCs w:val="22"/>
              </w:rPr>
              <w:lastRenderedPageBreak/>
              <w:t>Forma, espacio y medida</w:t>
            </w:r>
          </w:p>
          <w:p w:rsidR="00872A2D" w:rsidRPr="00691FA3" w:rsidRDefault="00872A2D" w:rsidP="00872A2D">
            <w:pPr>
              <w:pStyle w:val="Default"/>
              <w:rPr>
                <w:rFonts w:asciiTheme="minorHAnsi" w:hAnsiTheme="minorHAnsi"/>
                <w:color w:val="FF0000"/>
                <w:sz w:val="22"/>
                <w:szCs w:val="22"/>
              </w:rPr>
            </w:pPr>
          </w:p>
          <w:p w:rsidR="00872A2D" w:rsidRPr="00691FA3" w:rsidRDefault="00872A2D" w:rsidP="00872A2D">
            <w:pPr>
              <w:jc w:val="center"/>
              <w:rPr>
                <w:color w:val="FF0000"/>
              </w:rPr>
            </w:pPr>
          </w:p>
        </w:tc>
        <w:tc>
          <w:tcPr>
            <w:tcW w:w="1944" w:type="dxa"/>
          </w:tcPr>
          <w:p w:rsidR="00872A2D" w:rsidRPr="00691FA3" w:rsidRDefault="00872A2D" w:rsidP="00872A2D">
            <w:pPr>
              <w:pStyle w:val="Default"/>
              <w:jc w:val="center"/>
              <w:rPr>
                <w:rFonts w:asciiTheme="minorHAnsi" w:hAnsiTheme="minorHAnsi"/>
                <w:color w:val="FF0000"/>
                <w:sz w:val="22"/>
                <w:szCs w:val="22"/>
              </w:rPr>
            </w:pPr>
            <w:r w:rsidRPr="00691FA3">
              <w:rPr>
                <w:rFonts w:asciiTheme="minorHAnsi" w:hAnsiTheme="minorHAnsi"/>
                <w:color w:val="FF0000"/>
                <w:sz w:val="22"/>
                <w:szCs w:val="22"/>
              </w:rPr>
              <w:t>Ubicación espacial</w:t>
            </w:r>
          </w:p>
          <w:p w:rsidR="00872A2D" w:rsidRPr="00691FA3" w:rsidRDefault="00872A2D" w:rsidP="00872A2D">
            <w:pPr>
              <w:pStyle w:val="Default"/>
              <w:rPr>
                <w:rFonts w:asciiTheme="minorHAnsi" w:hAnsiTheme="minorHAnsi"/>
                <w:color w:val="FF0000"/>
                <w:sz w:val="22"/>
                <w:szCs w:val="22"/>
              </w:rPr>
            </w:pPr>
          </w:p>
        </w:tc>
        <w:tc>
          <w:tcPr>
            <w:tcW w:w="3112" w:type="dxa"/>
            <w:gridSpan w:val="3"/>
          </w:tcPr>
          <w:p w:rsidR="00872A2D" w:rsidRPr="00691FA3" w:rsidRDefault="00DC339B" w:rsidP="00872A2D">
            <w:pPr>
              <w:rPr>
                <w:color w:val="FF0000"/>
              </w:rPr>
            </w:pPr>
            <w:r w:rsidRPr="00691FA3">
              <w:rPr>
                <w:color w:val="FF0000"/>
              </w:rPr>
              <w:t>Experimentar</w:t>
            </w:r>
          </w:p>
          <w:p w:rsidR="00DC339B" w:rsidRPr="00691FA3" w:rsidRDefault="00DC339B" w:rsidP="00872A2D">
            <w:pPr>
              <w:rPr>
                <w:color w:val="FF0000"/>
              </w:rPr>
            </w:pPr>
            <w:r w:rsidRPr="00691FA3">
              <w:rPr>
                <w:color w:val="FF0000"/>
              </w:rPr>
              <w:t>Anticipar y verificar</w:t>
            </w:r>
          </w:p>
          <w:p w:rsidR="00714F8E" w:rsidRPr="00691FA3" w:rsidRDefault="00714F8E" w:rsidP="00872A2D">
            <w:pPr>
              <w:rPr>
                <w:color w:val="FF0000"/>
              </w:rPr>
            </w:pPr>
            <w:r w:rsidRPr="00691FA3">
              <w:rPr>
                <w:color w:val="FF0000"/>
              </w:rPr>
              <w:t>Comunicar en forma oral</w:t>
            </w:r>
          </w:p>
        </w:tc>
        <w:tc>
          <w:tcPr>
            <w:tcW w:w="2528" w:type="dxa"/>
          </w:tcPr>
          <w:p w:rsidR="00872A2D" w:rsidRPr="00691FA3" w:rsidRDefault="00F61BAD" w:rsidP="00872A2D">
            <w:pPr>
              <w:rPr>
                <w:b/>
                <w:bCs/>
                <w:color w:val="FF0000"/>
              </w:rPr>
            </w:pPr>
            <w:r w:rsidRPr="00691FA3">
              <w:rPr>
                <w:b/>
                <w:bCs/>
                <w:color w:val="FF0000"/>
              </w:rPr>
              <w:t>Ubica objetos y lugares, cuya ubicación desconoce, a través de la interpretación de relaciones espaciales y untos de referencia.</w:t>
            </w:r>
          </w:p>
        </w:tc>
        <w:tc>
          <w:tcPr>
            <w:tcW w:w="2528" w:type="dxa"/>
          </w:tcPr>
          <w:p w:rsidR="00872A2D" w:rsidRPr="00691FA3" w:rsidRDefault="00714F8E" w:rsidP="00872A2D">
            <w:pPr>
              <w:rPr>
                <w:color w:val="FF0000"/>
              </w:rPr>
            </w:pPr>
            <w:r w:rsidRPr="00691FA3">
              <w:rPr>
                <w:color w:val="FF0000"/>
              </w:rPr>
              <w:t>R</w:t>
            </w:r>
            <w:r w:rsidR="00DC339B" w:rsidRPr="00691FA3">
              <w:rPr>
                <w:color w:val="FF0000"/>
              </w:rPr>
              <w:t>econocer</w:t>
            </w:r>
          </w:p>
          <w:p w:rsidR="00714F8E" w:rsidRPr="00691FA3" w:rsidRDefault="00714F8E" w:rsidP="00872A2D">
            <w:pPr>
              <w:rPr>
                <w:color w:val="FF0000"/>
              </w:rPr>
            </w:pPr>
            <w:r w:rsidRPr="00691FA3">
              <w:rPr>
                <w:color w:val="FF0000"/>
              </w:rPr>
              <w:t>representar</w:t>
            </w:r>
          </w:p>
        </w:tc>
        <w:tc>
          <w:tcPr>
            <w:tcW w:w="2916" w:type="dxa"/>
          </w:tcPr>
          <w:p w:rsidR="00872A2D" w:rsidRPr="00691FA3" w:rsidRDefault="00714F8E" w:rsidP="00872A2D">
            <w:pPr>
              <w:rPr>
                <w:color w:val="FF0000"/>
              </w:rPr>
            </w:pPr>
            <w:r w:rsidRPr="00691FA3">
              <w:rPr>
                <w:color w:val="FF0000"/>
              </w:rPr>
              <w:t>E</w:t>
            </w:r>
            <w:r w:rsidR="00DC339B" w:rsidRPr="00691FA3">
              <w:rPr>
                <w:color w:val="FF0000"/>
              </w:rPr>
              <w:t>ncont</w:t>
            </w:r>
            <w:r w:rsidRPr="00691FA3">
              <w:rPr>
                <w:color w:val="FF0000"/>
              </w:rPr>
              <w:t>r</w:t>
            </w:r>
            <w:r w:rsidR="00DC339B" w:rsidRPr="00691FA3">
              <w:rPr>
                <w:color w:val="FF0000"/>
              </w:rPr>
              <w:t>ar</w:t>
            </w:r>
          </w:p>
          <w:p w:rsidR="00714F8E" w:rsidRPr="00691FA3" w:rsidRDefault="00714F8E" w:rsidP="00872A2D">
            <w:pPr>
              <w:rPr>
                <w:color w:val="FF0000"/>
              </w:rPr>
            </w:pPr>
            <w:r w:rsidRPr="00691FA3">
              <w:rPr>
                <w:color w:val="FF0000"/>
              </w:rPr>
              <w:t>identificar</w:t>
            </w:r>
          </w:p>
        </w:tc>
      </w:tr>
      <w:tr w:rsidR="00691FA3" w:rsidRPr="00691FA3" w:rsidTr="00872A2D">
        <w:trPr>
          <w:trHeight w:val="779"/>
        </w:trPr>
        <w:tc>
          <w:tcPr>
            <w:tcW w:w="1511" w:type="dxa"/>
            <w:vMerge/>
          </w:tcPr>
          <w:p w:rsidR="00872A2D" w:rsidRPr="00691FA3" w:rsidRDefault="00872A2D" w:rsidP="00872A2D">
            <w:pPr>
              <w:jc w:val="center"/>
              <w:rPr>
                <w:color w:val="FF0000"/>
              </w:rPr>
            </w:pPr>
          </w:p>
        </w:tc>
        <w:tc>
          <w:tcPr>
            <w:tcW w:w="1944" w:type="dxa"/>
          </w:tcPr>
          <w:p w:rsidR="00872A2D" w:rsidRPr="00691FA3" w:rsidRDefault="00872A2D" w:rsidP="00872A2D">
            <w:pPr>
              <w:pStyle w:val="Default"/>
              <w:jc w:val="center"/>
              <w:rPr>
                <w:rFonts w:asciiTheme="minorHAnsi" w:hAnsiTheme="minorHAnsi"/>
                <w:color w:val="FF0000"/>
                <w:sz w:val="22"/>
                <w:szCs w:val="22"/>
              </w:rPr>
            </w:pPr>
            <w:r w:rsidRPr="00691FA3">
              <w:rPr>
                <w:rFonts w:asciiTheme="minorHAnsi" w:hAnsiTheme="minorHAnsi"/>
                <w:color w:val="FF0000"/>
                <w:sz w:val="22"/>
                <w:szCs w:val="22"/>
              </w:rPr>
              <w:t>Figuras y cuerpos geométricos</w:t>
            </w:r>
          </w:p>
          <w:p w:rsidR="00872A2D" w:rsidRPr="00691FA3" w:rsidRDefault="00872A2D" w:rsidP="00872A2D">
            <w:pPr>
              <w:pStyle w:val="Default"/>
              <w:rPr>
                <w:rFonts w:asciiTheme="minorHAnsi" w:hAnsiTheme="minorHAnsi"/>
                <w:color w:val="FF0000"/>
                <w:sz w:val="22"/>
                <w:szCs w:val="22"/>
              </w:rPr>
            </w:pPr>
          </w:p>
        </w:tc>
        <w:tc>
          <w:tcPr>
            <w:tcW w:w="3112" w:type="dxa"/>
            <w:gridSpan w:val="3"/>
          </w:tcPr>
          <w:p w:rsidR="00872A2D" w:rsidRPr="00691FA3" w:rsidRDefault="00DC339B" w:rsidP="00872A2D">
            <w:pPr>
              <w:rPr>
                <w:color w:val="FF0000"/>
              </w:rPr>
            </w:pPr>
            <w:r w:rsidRPr="00691FA3">
              <w:rPr>
                <w:color w:val="FF0000"/>
              </w:rPr>
              <w:t>Reproducir y construir</w:t>
            </w:r>
          </w:p>
        </w:tc>
        <w:tc>
          <w:tcPr>
            <w:tcW w:w="2528" w:type="dxa"/>
          </w:tcPr>
          <w:p w:rsidR="00F61BAD" w:rsidRPr="00691FA3" w:rsidRDefault="00F61BAD" w:rsidP="00872A2D">
            <w:pPr>
              <w:rPr>
                <w:b/>
                <w:bCs/>
                <w:color w:val="FF0000"/>
              </w:rPr>
            </w:pPr>
            <w:r w:rsidRPr="00691FA3">
              <w:rPr>
                <w:b/>
                <w:bCs/>
                <w:color w:val="FF0000"/>
              </w:rPr>
              <w:t>Reproduce modelos con formas, figuras y cuerpos de figuras geométricas.</w:t>
            </w:r>
          </w:p>
          <w:p w:rsidR="00F61BAD" w:rsidRPr="00691FA3" w:rsidRDefault="00F61BAD" w:rsidP="00872A2D">
            <w:pPr>
              <w:rPr>
                <w:b/>
                <w:bCs/>
                <w:color w:val="FF0000"/>
              </w:rPr>
            </w:pPr>
            <w:r w:rsidRPr="00691FA3">
              <w:rPr>
                <w:b/>
                <w:bCs/>
                <w:color w:val="FF0000"/>
              </w:rPr>
              <w:t>Construye configuraciones con formas, figuras y cuerpos geométricos.</w:t>
            </w:r>
          </w:p>
          <w:p w:rsidR="00F61BAD" w:rsidRPr="00691FA3" w:rsidRDefault="00F61BAD" w:rsidP="00872A2D">
            <w:pPr>
              <w:rPr>
                <w:color w:val="FF0000"/>
              </w:rPr>
            </w:pPr>
          </w:p>
        </w:tc>
        <w:tc>
          <w:tcPr>
            <w:tcW w:w="2528" w:type="dxa"/>
          </w:tcPr>
          <w:p w:rsidR="00872A2D" w:rsidRPr="00691FA3" w:rsidRDefault="00714F8E" w:rsidP="00872A2D">
            <w:pPr>
              <w:rPr>
                <w:color w:val="FF0000"/>
              </w:rPr>
            </w:pPr>
            <w:r w:rsidRPr="00691FA3">
              <w:rPr>
                <w:color w:val="FF0000"/>
              </w:rPr>
              <w:t>R</w:t>
            </w:r>
            <w:r w:rsidR="00DC339B" w:rsidRPr="00691FA3">
              <w:rPr>
                <w:color w:val="FF0000"/>
              </w:rPr>
              <w:t>econocer</w:t>
            </w:r>
          </w:p>
          <w:p w:rsidR="00714F8E" w:rsidRPr="00691FA3" w:rsidRDefault="00714F8E" w:rsidP="00872A2D">
            <w:pPr>
              <w:rPr>
                <w:color w:val="FF0000"/>
              </w:rPr>
            </w:pPr>
            <w:r w:rsidRPr="00691FA3">
              <w:rPr>
                <w:color w:val="FF0000"/>
              </w:rPr>
              <w:t>ordenar</w:t>
            </w:r>
          </w:p>
        </w:tc>
        <w:tc>
          <w:tcPr>
            <w:tcW w:w="2916" w:type="dxa"/>
          </w:tcPr>
          <w:p w:rsidR="00872A2D" w:rsidRPr="00691FA3" w:rsidRDefault="00DC339B" w:rsidP="00872A2D">
            <w:pPr>
              <w:rPr>
                <w:color w:val="FF0000"/>
              </w:rPr>
            </w:pPr>
            <w:r w:rsidRPr="00691FA3">
              <w:rPr>
                <w:color w:val="FF0000"/>
              </w:rPr>
              <w:t>comparar</w:t>
            </w:r>
          </w:p>
        </w:tc>
      </w:tr>
    </w:tbl>
    <w:p w:rsidR="004813C1" w:rsidRPr="00691FA3" w:rsidRDefault="00872A2D" w:rsidP="00872A2D">
      <w:pPr>
        <w:jc w:val="center"/>
        <w:rPr>
          <w:b/>
          <w:color w:val="FF0000"/>
          <w:sz w:val="28"/>
        </w:rPr>
      </w:pPr>
      <w:r w:rsidRPr="00691FA3">
        <w:rPr>
          <w:b/>
          <w:color w:val="FF0000"/>
          <w:sz w:val="28"/>
        </w:rPr>
        <w:t xml:space="preserve"> Matriz Analítica de los Aprendizajes Clave</w:t>
      </w:r>
    </w:p>
    <w:p w:rsidR="00691FA3" w:rsidRDefault="00691FA3" w:rsidP="00872A2D">
      <w:pPr>
        <w:jc w:val="center"/>
        <w:rPr>
          <w:b/>
          <w:sz w:val="28"/>
        </w:rPr>
      </w:pPr>
    </w:p>
    <w:p w:rsidR="00A85C96" w:rsidRPr="00156ABE" w:rsidRDefault="00A85C96" w:rsidP="00A85C96">
      <w:pPr>
        <w:rPr>
          <w:rFonts w:cs="Arial"/>
          <w:b/>
        </w:rPr>
      </w:pPr>
      <w:r w:rsidRPr="00156ABE">
        <w:rPr>
          <w:rFonts w:cs="Arial"/>
          <w:b/>
        </w:rPr>
        <w:t>Nota Reflexiva</w:t>
      </w:r>
    </w:p>
    <w:p w:rsidR="00A85C96" w:rsidRDefault="00A85C96" w:rsidP="00A85C96">
      <w:r w:rsidRPr="004E01E4">
        <w:t>Muy</w:t>
      </w:r>
      <w:r>
        <w:t xml:space="preserve"> buen trabajo continua superándote, solo checa antes de entregar porque tienes un error muy notorio, el formato que empleaste se modificó, porque no utilizaste el que se envió o no sé qué pasaría.</w:t>
      </w:r>
    </w:p>
    <w:p w:rsidR="00A85C96" w:rsidRDefault="00A85C96" w:rsidP="00A85C96">
      <w:r>
        <w:t>Calif. 09</w:t>
      </w:r>
    </w:p>
    <w:p w:rsidR="00691FA3" w:rsidRPr="00872A2D" w:rsidRDefault="00691FA3" w:rsidP="00691FA3">
      <w:pPr>
        <w:rPr>
          <w:b/>
          <w:sz w:val="28"/>
        </w:rPr>
      </w:pPr>
      <w:bookmarkStart w:id="0" w:name="_GoBack"/>
      <w:bookmarkEnd w:id="0"/>
    </w:p>
    <w:sectPr w:rsidR="00691FA3" w:rsidRPr="00872A2D" w:rsidSect="00872A2D">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2D"/>
    <w:rsid w:val="000176E7"/>
    <w:rsid w:val="001B0415"/>
    <w:rsid w:val="004813C1"/>
    <w:rsid w:val="00691FA3"/>
    <w:rsid w:val="00714F8E"/>
    <w:rsid w:val="00841B9D"/>
    <w:rsid w:val="00872A2D"/>
    <w:rsid w:val="00A85C96"/>
    <w:rsid w:val="00DC339B"/>
    <w:rsid w:val="00F61B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72A2D"/>
    <w:pPr>
      <w:autoSpaceDE w:val="0"/>
      <w:autoSpaceDN w:val="0"/>
      <w:adjustRightInd w:val="0"/>
      <w:spacing w:after="0" w:line="240" w:lineRule="auto"/>
    </w:pPr>
    <w:rPr>
      <w:rFonts w:ascii="Montserrat" w:hAnsi="Montserrat" w:cs="Montserrat"/>
      <w:color w:val="000000"/>
      <w:sz w:val="24"/>
      <w:szCs w:val="24"/>
    </w:rPr>
  </w:style>
  <w:style w:type="table" w:styleId="Tablaconcuadrcula">
    <w:name w:val="Table Grid"/>
    <w:basedOn w:val="Tablanormal"/>
    <w:uiPriority w:val="59"/>
    <w:rsid w:val="00872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72A2D"/>
    <w:pPr>
      <w:autoSpaceDE w:val="0"/>
      <w:autoSpaceDN w:val="0"/>
      <w:adjustRightInd w:val="0"/>
      <w:spacing w:after="0" w:line="240" w:lineRule="auto"/>
    </w:pPr>
    <w:rPr>
      <w:rFonts w:ascii="Montserrat" w:hAnsi="Montserrat" w:cs="Montserrat"/>
      <w:color w:val="000000"/>
      <w:sz w:val="24"/>
      <w:szCs w:val="24"/>
    </w:rPr>
  </w:style>
  <w:style w:type="table" w:styleId="Tablaconcuadrcula">
    <w:name w:val="Table Grid"/>
    <w:basedOn w:val="Tablanormal"/>
    <w:uiPriority w:val="59"/>
    <w:rsid w:val="00872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417</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MQ</dc:creator>
  <cp:lastModifiedBy>MQ</cp:lastModifiedBy>
  <cp:revision>4</cp:revision>
  <dcterms:created xsi:type="dcterms:W3CDTF">2021-03-13T04:03:00Z</dcterms:created>
  <dcterms:modified xsi:type="dcterms:W3CDTF">2021-03-18T23:25:00Z</dcterms:modified>
</cp:coreProperties>
</file>