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B8866" w14:textId="77777777" w:rsidR="00B112DF" w:rsidRPr="00B112DF" w:rsidRDefault="00B112DF" w:rsidP="00B112DF">
      <w:pPr>
        <w:rPr>
          <w:sz w:val="28"/>
          <w:szCs w:val="28"/>
        </w:rPr>
      </w:pPr>
      <w:r w:rsidRPr="00B112DF">
        <w:rPr>
          <w:rFonts w:ascii="Arial" w:hAnsi="Arial" w:cs="Arial"/>
          <w:iCs/>
          <w:noProof/>
          <w:sz w:val="32"/>
          <w:szCs w:val="32"/>
          <w:lang w:eastAsia="es-MX"/>
        </w:rPr>
        <w:drawing>
          <wp:anchor distT="0" distB="0" distL="114300" distR="114300" simplePos="0" relativeHeight="251659264" behindDoc="0" locked="0" layoutInCell="1" allowOverlap="1" wp14:anchorId="74095197" wp14:editId="248C0106">
            <wp:simplePos x="0" y="0"/>
            <wp:positionH relativeFrom="margin">
              <wp:posOffset>2052016</wp:posOffset>
            </wp:positionH>
            <wp:positionV relativeFrom="paragraph">
              <wp:posOffset>0</wp:posOffset>
            </wp:positionV>
            <wp:extent cx="1905000" cy="1415415"/>
            <wp:effectExtent l="0" t="0" r="0" b="0"/>
            <wp:wrapThrough wrapText="bothSides">
              <wp:wrapPolygon edited="0">
                <wp:start x="4752" y="0"/>
                <wp:lineTo x="4752" y="16280"/>
                <wp:lineTo x="5400" y="18896"/>
                <wp:lineTo x="6048" y="19478"/>
                <wp:lineTo x="8856" y="20931"/>
                <wp:lineTo x="9720" y="21222"/>
                <wp:lineTo x="12744" y="21222"/>
                <wp:lineTo x="13608" y="20931"/>
                <wp:lineTo x="16632" y="18896"/>
                <wp:lineTo x="17712" y="15699"/>
                <wp:lineTo x="17496" y="0"/>
                <wp:lineTo x="4752"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5">
                      <a:extLst>
                        <a:ext uri="{BEBA8EAE-BF5A-486C-A8C5-ECC9F3942E4B}">
                          <a14:imgProps xmlns:a14="http://schemas.microsoft.com/office/drawing/2010/main">
                            <a14:imgLayer r:embed="rId6">
                              <a14:imgEffect>
                                <a14:backgroundRemoval t="690" b="98621" l="9744" r="89744"/>
                              </a14:imgEffect>
                            </a14:imgLayer>
                          </a14:imgProps>
                        </a:ext>
                        <a:ext uri="{28A0092B-C50C-407E-A947-70E740481C1C}">
                          <a14:useLocalDpi xmlns:a14="http://schemas.microsoft.com/office/drawing/2010/main" val="0"/>
                        </a:ext>
                      </a:extLst>
                    </a:blip>
                    <a:stretch>
                      <a:fillRect/>
                    </a:stretch>
                  </pic:blipFill>
                  <pic:spPr>
                    <a:xfrm>
                      <a:off x="0" y="0"/>
                      <a:ext cx="1905000" cy="1415415"/>
                    </a:xfrm>
                    <a:prstGeom prst="rect">
                      <a:avLst/>
                    </a:prstGeom>
                  </pic:spPr>
                </pic:pic>
              </a:graphicData>
            </a:graphic>
            <wp14:sizeRelH relativeFrom="margin">
              <wp14:pctWidth>0</wp14:pctWidth>
            </wp14:sizeRelH>
            <wp14:sizeRelV relativeFrom="margin">
              <wp14:pctHeight>0</wp14:pctHeight>
            </wp14:sizeRelV>
          </wp:anchor>
        </w:drawing>
      </w:r>
    </w:p>
    <w:p w14:paraId="792C607B" w14:textId="77777777" w:rsidR="00B112DF" w:rsidRPr="00B112DF" w:rsidRDefault="00B112DF" w:rsidP="00B112DF">
      <w:pPr>
        <w:rPr>
          <w:sz w:val="28"/>
          <w:szCs w:val="28"/>
        </w:rPr>
      </w:pPr>
    </w:p>
    <w:p w14:paraId="367E4E10" w14:textId="77777777" w:rsidR="00B112DF" w:rsidRPr="00B112DF" w:rsidRDefault="00B112DF" w:rsidP="00B112DF">
      <w:pPr>
        <w:rPr>
          <w:sz w:val="28"/>
          <w:szCs w:val="28"/>
        </w:rPr>
      </w:pPr>
    </w:p>
    <w:p w14:paraId="26858D90" w14:textId="77777777" w:rsidR="00B112DF" w:rsidRPr="00B112DF" w:rsidRDefault="00B112DF" w:rsidP="00B112DF">
      <w:pPr>
        <w:rPr>
          <w:sz w:val="28"/>
          <w:szCs w:val="28"/>
        </w:rPr>
      </w:pPr>
    </w:p>
    <w:p w14:paraId="6C94874E" w14:textId="77777777" w:rsidR="00B112DF" w:rsidRPr="00B112DF" w:rsidRDefault="00B112DF" w:rsidP="00B112DF">
      <w:pPr>
        <w:rPr>
          <w:sz w:val="28"/>
          <w:szCs w:val="28"/>
        </w:rPr>
      </w:pPr>
    </w:p>
    <w:p w14:paraId="1917ABCE" w14:textId="77777777" w:rsidR="00B112DF" w:rsidRPr="00B112DF" w:rsidRDefault="00B112DF" w:rsidP="00B112DF">
      <w:pPr>
        <w:jc w:val="center"/>
        <w:rPr>
          <w:rFonts w:ascii="Arial" w:hAnsi="Arial" w:cs="Arial"/>
          <w:sz w:val="48"/>
          <w:szCs w:val="32"/>
        </w:rPr>
      </w:pPr>
      <w:r w:rsidRPr="00B112DF">
        <w:rPr>
          <w:rFonts w:ascii="Arial" w:hAnsi="Arial" w:cs="Arial"/>
          <w:sz w:val="48"/>
          <w:szCs w:val="32"/>
        </w:rPr>
        <w:t>Escuela Normal de Educación Preescolar</w:t>
      </w:r>
    </w:p>
    <w:p w14:paraId="3C26CA0A" w14:textId="77777777" w:rsidR="00B112DF" w:rsidRPr="00B112DF" w:rsidRDefault="00B112DF" w:rsidP="00B112DF">
      <w:pPr>
        <w:jc w:val="center"/>
        <w:rPr>
          <w:rFonts w:ascii="Arial" w:hAnsi="Arial" w:cs="Arial"/>
          <w:sz w:val="44"/>
          <w:szCs w:val="32"/>
        </w:rPr>
      </w:pPr>
      <w:r w:rsidRPr="00B112DF">
        <w:rPr>
          <w:rFonts w:ascii="Arial" w:hAnsi="Arial" w:cs="Arial"/>
          <w:sz w:val="44"/>
          <w:szCs w:val="32"/>
        </w:rPr>
        <w:t>LICENCIATURA EN EDUCACIÓN PREESCOLAR</w:t>
      </w:r>
    </w:p>
    <w:p w14:paraId="3721B10F" w14:textId="77777777" w:rsidR="00B112DF" w:rsidRPr="00B112DF" w:rsidRDefault="00B112DF" w:rsidP="00B112DF">
      <w:pPr>
        <w:jc w:val="center"/>
        <w:rPr>
          <w:rFonts w:ascii="Arial" w:hAnsi="Arial" w:cs="Arial"/>
          <w:iCs/>
          <w:sz w:val="32"/>
          <w:szCs w:val="32"/>
        </w:rPr>
      </w:pPr>
      <w:r w:rsidRPr="00B112DF">
        <w:rPr>
          <w:rFonts w:ascii="Arial" w:hAnsi="Arial" w:cs="Arial"/>
          <w:iCs/>
          <w:sz w:val="32"/>
          <w:szCs w:val="32"/>
        </w:rPr>
        <w:t>Ciclo 2020 – 2021</w:t>
      </w:r>
    </w:p>
    <w:p w14:paraId="2292549B" w14:textId="095A8408" w:rsidR="00B112DF" w:rsidRPr="00B112DF" w:rsidRDefault="00B112DF" w:rsidP="00B112DF">
      <w:pPr>
        <w:jc w:val="center"/>
        <w:rPr>
          <w:rFonts w:ascii="Arial" w:hAnsi="Arial" w:cs="Arial"/>
          <w:sz w:val="32"/>
          <w:szCs w:val="32"/>
        </w:rPr>
      </w:pPr>
      <w:r w:rsidRPr="00B112DF">
        <w:rPr>
          <w:rFonts w:ascii="Arial" w:hAnsi="Arial" w:cs="Arial"/>
          <w:sz w:val="32"/>
          <w:szCs w:val="32"/>
        </w:rPr>
        <w:t>Alumna: Marian Leonor Cepeda Leos #</w:t>
      </w:r>
      <w:r>
        <w:rPr>
          <w:rFonts w:ascii="Arial" w:hAnsi="Arial" w:cs="Arial"/>
          <w:sz w:val="32"/>
          <w:szCs w:val="32"/>
        </w:rPr>
        <w:t>4</w:t>
      </w:r>
    </w:p>
    <w:p w14:paraId="1F971B32" w14:textId="5468A7AA" w:rsidR="00B112DF" w:rsidRPr="00B112DF" w:rsidRDefault="00B112DF" w:rsidP="00B112DF">
      <w:pPr>
        <w:jc w:val="center"/>
        <w:rPr>
          <w:rFonts w:ascii="Arial" w:hAnsi="Arial" w:cs="Arial"/>
          <w:iCs/>
          <w:sz w:val="32"/>
          <w:szCs w:val="32"/>
        </w:rPr>
      </w:pPr>
      <w:r w:rsidRPr="00B112DF">
        <w:rPr>
          <w:rFonts w:ascii="Arial" w:hAnsi="Arial" w:cs="Arial"/>
          <w:iCs/>
          <w:sz w:val="32"/>
          <w:szCs w:val="32"/>
        </w:rPr>
        <w:t>Lic.</w:t>
      </w:r>
      <w:r>
        <w:rPr>
          <w:rFonts w:ascii="Arial" w:hAnsi="Arial" w:cs="Arial"/>
          <w:iCs/>
          <w:sz w:val="32"/>
          <w:szCs w:val="32"/>
        </w:rPr>
        <w:t xml:space="preserve"> </w:t>
      </w:r>
      <w:r w:rsidRPr="00B112DF">
        <w:rPr>
          <w:rFonts w:ascii="Arial" w:hAnsi="Arial" w:cs="Arial"/>
          <w:iCs/>
          <w:sz w:val="32"/>
          <w:szCs w:val="32"/>
        </w:rPr>
        <w:t xml:space="preserve">Humberto Valdez Sánchez </w:t>
      </w:r>
    </w:p>
    <w:p w14:paraId="49073A98" w14:textId="0BB4F05F" w:rsidR="00B112DF" w:rsidRPr="00B112DF" w:rsidRDefault="00B112DF" w:rsidP="00B112DF">
      <w:pPr>
        <w:jc w:val="center"/>
        <w:rPr>
          <w:rFonts w:ascii="Arial" w:hAnsi="Arial" w:cs="Arial"/>
          <w:sz w:val="32"/>
          <w:szCs w:val="32"/>
        </w:rPr>
      </w:pPr>
      <w:r w:rsidRPr="00B112DF">
        <w:rPr>
          <w:rFonts w:ascii="Arial" w:hAnsi="Arial" w:cs="Arial"/>
          <w:iCs/>
          <w:sz w:val="32"/>
          <w:szCs w:val="32"/>
        </w:rPr>
        <w:t xml:space="preserve">Desarrollo de </w:t>
      </w:r>
      <w:r>
        <w:rPr>
          <w:rFonts w:ascii="Arial" w:hAnsi="Arial" w:cs="Arial"/>
          <w:iCs/>
          <w:sz w:val="32"/>
          <w:szCs w:val="32"/>
        </w:rPr>
        <w:t>c</w:t>
      </w:r>
      <w:r w:rsidRPr="00B112DF">
        <w:rPr>
          <w:rFonts w:ascii="Arial" w:hAnsi="Arial" w:cs="Arial"/>
          <w:iCs/>
          <w:sz w:val="32"/>
          <w:szCs w:val="32"/>
        </w:rPr>
        <w:t xml:space="preserve">ompetencias lectoras </w:t>
      </w:r>
    </w:p>
    <w:p w14:paraId="02FB0C08" w14:textId="7087E851" w:rsidR="00B112DF" w:rsidRDefault="00B112DF" w:rsidP="00B112DF">
      <w:pPr>
        <w:jc w:val="center"/>
        <w:rPr>
          <w:rFonts w:ascii="Arial" w:hAnsi="Arial" w:cs="Arial"/>
          <w:bCs/>
          <w:sz w:val="32"/>
          <w:szCs w:val="32"/>
        </w:rPr>
      </w:pPr>
      <w:r w:rsidRPr="00B112DF">
        <w:rPr>
          <w:rFonts w:ascii="Arial" w:hAnsi="Arial" w:cs="Arial"/>
          <w:bCs/>
          <w:sz w:val="32"/>
          <w:szCs w:val="32"/>
        </w:rPr>
        <w:t>2°C</w:t>
      </w:r>
    </w:p>
    <w:p w14:paraId="62C79754" w14:textId="1300E51A" w:rsidR="00B112DF" w:rsidRPr="00B112DF" w:rsidRDefault="00B112DF" w:rsidP="00B112DF">
      <w:pPr>
        <w:jc w:val="center"/>
        <w:rPr>
          <w:rFonts w:ascii="Arial" w:hAnsi="Arial" w:cs="Arial"/>
          <w:bCs/>
          <w:sz w:val="24"/>
          <w:szCs w:val="24"/>
        </w:rPr>
      </w:pPr>
    </w:p>
    <w:p w14:paraId="4205E679" w14:textId="77777777" w:rsidR="00476ED3" w:rsidRDefault="00476ED3">
      <w:pPr>
        <w:rPr>
          <w:sz w:val="56"/>
          <w:szCs w:val="56"/>
        </w:rPr>
      </w:pPr>
    </w:p>
    <w:p w14:paraId="598B8F60" w14:textId="77777777" w:rsidR="00476ED3" w:rsidRDefault="00476ED3">
      <w:pPr>
        <w:rPr>
          <w:sz w:val="56"/>
          <w:szCs w:val="56"/>
        </w:rPr>
      </w:pPr>
    </w:p>
    <w:p w14:paraId="09CD321E" w14:textId="77777777" w:rsidR="00476ED3" w:rsidRDefault="00476ED3">
      <w:pPr>
        <w:rPr>
          <w:sz w:val="56"/>
          <w:szCs w:val="56"/>
        </w:rPr>
      </w:pPr>
    </w:p>
    <w:p w14:paraId="73CE7773" w14:textId="2461CEDE" w:rsidR="00760BC6" w:rsidRDefault="00760BC6" w:rsidP="00B21898">
      <w:pPr>
        <w:spacing w:line="360" w:lineRule="auto"/>
        <w:rPr>
          <w:sz w:val="56"/>
          <w:szCs w:val="56"/>
        </w:rPr>
      </w:pPr>
    </w:p>
    <w:p w14:paraId="5749EBDF" w14:textId="77777777" w:rsidR="00B112DF" w:rsidRDefault="00B112DF" w:rsidP="00B21898">
      <w:pPr>
        <w:spacing w:line="360" w:lineRule="auto"/>
        <w:rPr>
          <w:sz w:val="56"/>
          <w:szCs w:val="56"/>
        </w:rPr>
      </w:pPr>
    </w:p>
    <w:p w14:paraId="090E6888"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lastRenderedPageBreak/>
        <w:t>LA RELATIVIDAD DE LA ENSEÑANZA Y LA RELATIVIDAD DE LA COMPRENSIÓN: UN ENFOQUE PSICOGENÉTICO</w:t>
      </w:r>
    </w:p>
    <w:p w14:paraId="08CCD2C5" w14:textId="77777777" w:rsidR="00174712" w:rsidRPr="00174712" w:rsidRDefault="00174712" w:rsidP="00174712">
      <w:pPr>
        <w:pStyle w:val="Prrafodelista"/>
        <w:spacing w:line="360" w:lineRule="auto"/>
        <w:rPr>
          <w:rFonts w:ascii="Arial" w:hAnsi="Arial" w:cs="Arial"/>
          <w:sz w:val="24"/>
          <w:szCs w:val="24"/>
        </w:rPr>
      </w:pPr>
    </w:p>
    <w:p w14:paraId="34BE8D3C"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La comprensión de la lectura</w:t>
      </w:r>
    </w:p>
    <w:p w14:paraId="0D3CFD15" w14:textId="77777777" w:rsidR="00174712" w:rsidRPr="00174712" w:rsidRDefault="00174712" w:rsidP="00174712">
      <w:pPr>
        <w:pStyle w:val="Prrafodelista"/>
        <w:spacing w:line="360" w:lineRule="auto"/>
        <w:rPr>
          <w:rFonts w:ascii="Arial" w:hAnsi="Arial" w:cs="Arial"/>
          <w:sz w:val="24"/>
          <w:szCs w:val="24"/>
        </w:rPr>
      </w:pPr>
    </w:p>
    <w:p w14:paraId="77C5D0A3" w14:textId="62B8E601"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 xml:space="preserve">1.- Tradicionalmente, la comprensión ha sido concebida como la extracción del significado transmitido por el texto. Sin embargo, de acuerdo con las definiciones de comprensión que formulan los psicolingüistas contemporáneos muestran que algo fundamental ha cambiado: </w:t>
      </w:r>
    </w:p>
    <w:p w14:paraId="7BE7D123" w14:textId="77777777" w:rsidR="00174712" w:rsidRDefault="00174712" w:rsidP="00174712">
      <w:pPr>
        <w:pStyle w:val="Prrafodelista"/>
        <w:spacing w:line="360" w:lineRule="auto"/>
        <w:rPr>
          <w:rFonts w:ascii="Arial" w:hAnsi="Arial" w:cs="Arial"/>
          <w:sz w:val="24"/>
          <w:szCs w:val="24"/>
        </w:rPr>
      </w:pPr>
    </w:p>
    <w:p w14:paraId="7AE1FE63" w14:textId="6A5C8F06"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 xml:space="preserve"> Los conocimientos previos y los recuerdos de experiencias tienen un papel fundamental en la comprensión de la lectura. </w:t>
      </w:r>
    </w:p>
    <w:p w14:paraId="4AE921DD" w14:textId="77777777" w:rsidR="00174712" w:rsidRPr="00174712" w:rsidRDefault="00174712" w:rsidP="00174712">
      <w:pPr>
        <w:pStyle w:val="Prrafodelista"/>
        <w:spacing w:line="360" w:lineRule="auto"/>
        <w:rPr>
          <w:rFonts w:ascii="Arial" w:hAnsi="Arial" w:cs="Arial"/>
          <w:sz w:val="24"/>
          <w:szCs w:val="24"/>
        </w:rPr>
      </w:pPr>
    </w:p>
    <w:p w14:paraId="6CC4E589"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2.- Los resultados de las investigaciones psicolingüísticas realizadas en los últimos años muestran que el conocimiento previo del lector es un factor determinante en el proceso de construcción del significado. Ese “conocimiento previo” está constituido por:</w:t>
      </w:r>
    </w:p>
    <w:p w14:paraId="58A6B932"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1.</w:t>
      </w:r>
      <w:r w:rsidRPr="00174712">
        <w:rPr>
          <w:rFonts w:ascii="Arial" w:hAnsi="Arial" w:cs="Arial"/>
          <w:sz w:val="24"/>
          <w:szCs w:val="24"/>
        </w:rPr>
        <w:tab/>
        <w:t xml:space="preserve">Por su comprensión cognitiva (como está organizado su comportamiento)   </w:t>
      </w:r>
    </w:p>
    <w:p w14:paraId="0F1B99E5"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2.</w:t>
      </w:r>
      <w:r w:rsidRPr="00174712">
        <w:rPr>
          <w:rFonts w:ascii="Arial" w:hAnsi="Arial" w:cs="Arial"/>
          <w:sz w:val="24"/>
          <w:szCs w:val="24"/>
        </w:rPr>
        <w:tab/>
        <w:t xml:space="preserve">Por su comprensión lingüística en general. </w:t>
      </w:r>
    </w:p>
    <w:p w14:paraId="30EB9ACB"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3.</w:t>
      </w:r>
      <w:r w:rsidRPr="00174712">
        <w:rPr>
          <w:rFonts w:ascii="Arial" w:hAnsi="Arial" w:cs="Arial"/>
          <w:sz w:val="24"/>
          <w:szCs w:val="24"/>
        </w:rPr>
        <w:tab/>
        <w:t xml:space="preserve">Por su conocimiento de la lengua en particular. </w:t>
      </w:r>
    </w:p>
    <w:p w14:paraId="599E24DA"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4.</w:t>
      </w:r>
      <w:r w:rsidRPr="00174712">
        <w:rPr>
          <w:rFonts w:ascii="Arial" w:hAnsi="Arial" w:cs="Arial"/>
          <w:sz w:val="24"/>
          <w:szCs w:val="24"/>
        </w:rPr>
        <w:tab/>
        <w:t xml:space="preserve">El grado de familiaridad con el género literario. </w:t>
      </w:r>
    </w:p>
    <w:p w14:paraId="22F8A77F" w14:textId="77777777" w:rsidR="00174712" w:rsidRPr="00174712" w:rsidRDefault="00174712" w:rsidP="00174712">
      <w:pPr>
        <w:pStyle w:val="Prrafodelista"/>
        <w:spacing w:line="360" w:lineRule="auto"/>
        <w:rPr>
          <w:rFonts w:ascii="Arial" w:hAnsi="Arial" w:cs="Arial"/>
          <w:sz w:val="24"/>
          <w:szCs w:val="24"/>
        </w:rPr>
      </w:pPr>
    </w:p>
    <w:p w14:paraId="383E86FB"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3.- Adams y Bruce señalan que, además de los conocimientos previos, hay otro factor que desempeñan un papel importante en la interpretación que los sujetos hacen de los textos leídos:</w:t>
      </w:r>
    </w:p>
    <w:p w14:paraId="51CD2ED6"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 xml:space="preserve">La forma de pensar porque incide en las expectativas y anticipaciones del lector y, por consiguiente, en la comprensión. </w:t>
      </w:r>
    </w:p>
    <w:p w14:paraId="478AB7E9"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 xml:space="preserve"> </w:t>
      </w:r>
    </w:p>
    <w:p w14:paraId="2FBE3C43"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 xml:space="preserve">4.- El sujeto puede construir un significado distinto al nuestro. Esto no implica que no ha comprendido el texto, sino que… </w:t>
      </w:r>
    </w:p>
    <w:p w14:paraId="301AAF48"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 xml:space="preserve">Interpreta el texto a su manera a través de cómo asimila las cosas, su conocimiento del mundo, los propósitos que orientan su lectura, las razones que lo llevan a identificarse con él y los conflictos que vive. </w:t>
      </w:r>
    </w:p>
    <w:p w14:paraId="0AC327F0"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 xml:space="preserve"> </w:t>
      </w:r>
    </w:p>
    <w:p w14:paraId="7BDFE04D"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 xml:space="preserve">5.- No obstante, esto no significa que las interpretaciones del lector sean arbitrarias, es… </w:t>
      </w:r>
    </w:p>
    <w:p w14:paraId="56ACDA10"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Un proceso donde cada lector construye uno o más significados dentro del texto que guardan relación con sus propiedades objetivas.</w:t>
      </w:r>
    </w:p>
    <w:p w14:paraId="40368DD3"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 xml:space="preserve"> </w:t>
      </w:r>
    </w:p>
    <w:p w14:paraId="07EBB4B8"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 xml:space="preserve">6.- El progreso del conocimiento se hace posible gracias a la capacidad de los esquemas cognoscitivos de acomodarse a lo nuevo, en la medida en que… </w:t>
      </w:r>
    </w:p>
    <w:p w14:paraId="78809AE2"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 xml:space="preserve">Lo nuevo sea suficientemente cercano a lo ya construido como para ser asimilable por los conocimientos previos del sujeto.  </w:t>
      </w:r>
    </w:p>
    <w:p w14:paraId="78C2B819"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La enseñanza</w:t>
      </w:r>
    </w:p>
    <w:p w14:paraId="611D9BC7"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 xml:space="preserve">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 vez coinciden con los objetivos del educador. Esto significa que la enseñanza debe ser tomada en cuenta… </w:t>
      </w:r>
    </w:p>
    <w:p w14:paraId="47EE1582"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La intervención que ejerce el sujeto como centro de enseñanza y no determinar el proceso de aprendizaje que este debe seguir sino al contrario enseñar contenidos que coincidan con los objetivos del educador para que los alumnos los utilicen en contextos diferentes al original.</w:t>
      </w:r>
    </w:p>
    <w:p w14:paraId="13BBEB81"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 xml:space="preserve">8.- Enseñanza y aprendizaje, con demasiada frecuencia, son dos conceptos que se confunden, que se los utiliza como si aludieran a una misma realidad, pero presentan dos grandes diferencias: </w:t>
      </w:r>
    </w:p>
    <w:p w14:paraId="2B466E16"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 xml:space="preserve">· El aprendizaje es una actividad interna del individuo y es un proceso continuo               </w:t>
      </w:r>
    </w:p>
    <w:p w14:paraId="47F9FAA3"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 La enseñanza es una intervención exterior y es transitoria.</w:t>
      </w:r>
    </w:p>
    <w:p w14:paraId="5C112557"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 xml:space="preserve">       </w:t>
      </w:r>
    </w:p>
    <w:p w14:paraId="18D26A8D"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Comprensión de la lectura e intervención pedagógica</w:t>
      </w:r>
    </w:p>
    <w:p w14:paraId="5B4E64EF"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 xml:space="preserve">9.- ¿Desde cuándo se plantea el niño el problema de comprender la lectura, desde cuándo interviene el adulto en este proceso? </w:t>
      </w:r>
    </w:p>
    <w:p w14:paraId="69830A20"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Esto comienza mucho antes de que el niño sepa leer: cuando alguien le lee un cuento a un niño de dos años, cuando alguien responde proporcionando un significado a los reiterados ¿Qué dice ahí? De los niños de tres o cuatro años, esos niños están comprendiendo la lectura. Cuando el niño está aprendiendo a leer, él atribuye significado a los textos con los que se enfrenta.</w:t>
      </w:r>
    </w:p>
    <w:p w14:paraId="63285DA4"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w:t>
      </w:r>
    </w:p>
    <w:p w14:paraId="1E9D4BA0"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w:t>
      </w:r>
      <w:r w:rsidRPr="00174712">
        <w:rPr>
          <w:rFonts w:ascii="Arial" w:hAnsi="Arial" w:cs="Arial"/>
          <w:sz w:val="24"/>
          <w:szCs w:val="24"/>
        </w:rPr>
        <w:tab/>
        <w:t>Medio de comunicación</w:t>
      </w:r>
    </w:p>
    <w:p w14:paraId="136AF3F2"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w:t>
      </w:r>
      <w:r w:rsidRPr="00174712">
        <w:rPr>
          <w:rFonts w:ascii="Arial" w:hAnsi="Arial" w:cs="Arial"/>
          <w:sz w:val="24"/>
          <w:szCs w:val="24"/>
        </w:rPr>
        <w:tab/>
        <w:t>Instrumento de recreación</w:t>
      </w:r>
    </w:p>
    <w:p w14:paraId="091D54F2"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w:t>
      </w:r>
      <w:r w:rsidRPr="00174712">
        <w:rPr>
          <w:rFonts w:ascii="Arial" w:hAnsi="Arial" w:cs="Arial"/>
          <w:sz w:val="24"/>
          <w:szCs w:val="24"/>
        </w:rPr>
        <w:tab/>
        <w:t>Fuente de información útil para resolver problemas reales</w:t>
      </w:r>
    </w:p>
    <w:p w14:paraId="45508D13"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 xml:space="preserve">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14:paraId="3E40DE7B"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w:t>
      </w:r>
      <w:r w:rsidRPr="00174712">
        <w:rPr>
          <w:rFonts w:ascii="Arial" w:hAnsi="Arial" w:cs="Arial"/>
          <w:sz w:val="24"/>
          <w:szCs w:val="24"/>
        </w:rPr>
        <w:tab/>
        <w:t>porque son válidas, ya que representan el significado construido por el niño a través de su interacción espontánea con el texto y porque son el producto de su esfuerzo por generar el significado a partir de sus conocimientos previos.</w:t>
      </w:r>
    </w:p>
    <w:p w14:paraId="59A3E096"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w:t>
      </w:r>
      <w:r w:rsidRPr="00174712">
        <w:rPr>
          <w:rFonts w:ascii="Arial" w:hAnsi="Arial" w:cs="Arial"/>
          <w:sz w:val="24"/>
          <w:szCs w:val="24"/>
        </w:rPr>
        <w:tab/>
        <w:t xml:space="preserve">porque si no creamos un clima en el que el “error” o lo que a nosotros nos parece un error está permitido, el niño no se arriesgara a equivocarse, no formulará hipótesis, renunciara a la anticipación y por lo tanto a la comprensión       </w:t>
      </w:r>
    </w:p>
    <w:p w14:paraId="7EEBB467"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12.- Para ayudar al niño a comprender mejor lo que ha comprendido originalmente se usa la discusión y se recurre al texto para aclarar las dudas y superar los conflictos. La discusión entre los niños es fundamental…</w:t>
      </w:r>
    </w:p>
    <w:p w14:paraId="3374D26C"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 xml:space="preserve"> Porque obliga a cada uno a justificar su interpretación frente a los demás y en esta búsqueda de justificación se hace posible tomar conciencia de aspectos contradictorios o incoherentes que coexisten en la propia interpretación.</w:t>
      </w:r>
    </w:p>
    <w:p w14:paraId="23B94E94"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 xml:space="preserve">13.- El docente puede facilitar y ampliar la construcción de las interpretaciones de un texto estimulando: </w:t>
      </w:r>
    </w:p>
    <w:p w14:paraId="17085956"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a) Las estrategias o el proceso que el sujeto usa para comprender el texto</w:t>
      </w:r>
    </w:p>
    <w:p w14:paraId="3657FC5A"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b) El conocimiento previo o la experiencia de quien aprende.</w:t>
      </w:r>
    </w:p>
    <w:p w14:paraId="6878E6CE"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c) Las características y la organización del texto</w:t>
      </w:r>
    </w:p>
    <w:p w14:paraId="013B4C13"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 xml:space="preserve">14.- En algunos casos, el conocimiento previo de los niños no estará en condiciones de acomodarse suficientemente a los problemas que el texto les plantea, habrá que proponer entonces otras actividades que contribuyan a enriquecer su información: </w:t>
      </w:r>
    </w:p>
    <w:p w14:paraId="5AE22335" w14:textId="131C7AB2"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No-visual sobre el tema: conversaciones, experimentos que permitan a los niños realizar acciones concretas, así como reflexionar acerca de las acciones realizadas y los resultados obtenidos, otras lecturas, etc.</w:t>
      </w:r>
    </w:p>
    <w:p w14:paraId="306D8BD6"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 xml:space="preserve"> </w:t>
      </w:r>
    </w:p>
    <w:p w14:paraId="759A5F0A"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 xml:space="preserve">15.- ¿Qué debemos hacer cuando el texto plantea problemas cuya solución está fuera del alcance de la estructura intelectual de los niños, o les plantea conflictos afectivos o cognitivos que no logran superar? </w:t>
      </w:r>
    </w:p>
    <w:p w14:paraId="3E3CFBB8" w14:textId="77777777" w:rsidR="00174712" w:rsidRPr="00174712" w:rsidRDefault="00174712" w:rsidP="00174712">
      <w:pPr>
        <w:pStyle w:val="Prrafodelista"/>
        <w:spacing w:line="360" w:lineRule="auto"/>
        <w:rPr>
          <w:rFonts w:ascii="Arial" w:hAnsi="Arial" w:cs="Arial"/>
          <w:sz w:val="24"/>
          <w:szCs w:val="24"/>
        </w:rPr>
      </w:pPr>
      <w:r w:rsidRPr="00174712">
        <w:rPr>
          <w:rFonts w:ascii="Arial" w:hAnsi="Arial" w:cs="Arial"/>
          <w:sz w:val="24"/>
          <w:szCs w:val="24"/>
        </w:rPr>
        <w:t>No hacerlos llegar más allá de donde su estructura psíquica se lo permite, consideremos como altamente positivo que hayan logrado la máxima comprensión de la que son capaces en ese momento, gracias al aporte de sus compañeros y al nuestro propio.</w:t>
      </w:r>
    </w:p>
    <w:p w14:paraId="7B05771C" w14:textId="0FBAD946" w:rsidR="00843A72" w:rsidRPr="001943C2" w:rsidRDefault="00843A72" w:rsidP="00AE4153">
      <w:pPr>
        <w:pStyle w:val="Prrafodelista"/>
        <w:spacing w:line="360" w:lineRule="auto"/>
        <w:rPr>
          <w:rFonts w:ascii="Arial" w:hAnsi="Arial" w:cs="Arial"/>
          <w:sz w:val="24"/>
          <w:szCs w:val="24"/>
        </w:rPr>
      </w:pPr>
    </w:p>
    <w:sectPr w:rsidR="00843A72" w:rsidRPr="001943C2" w:rsidSect="00476ED3">
      <w:pgSz w:w="12240" w:h="15840"/>
      <w:pgMar w:top="1440" w:right="1440" w:bottom="1440" w:left="1440" w:header="708" w:footer="708" w:gutter="0"/>
      <w:pgBorders w:offsetFrom="page">
        <w:top w:val="single" w:sz="12" w:space="24" w:color="C00000"/>
        <w:left w:val="single" w:sz="12" w:space="24" w:color="C00000"/>
        <w:bottom w:val="single" w:sz="12" w:space="24" w:color="C00000"/>
        <w:right w:val="single" w:sz="12"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3E4"/>
    <w:multiLevelType w:val="hybridMultilevel"/>
    <w:tmpl w:val="180CD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CB4AA5"/>
    <w:multiLevelType w:val="hybridMultilevel"/>
    <w:tmpl w:val="CD8E6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E21119"/>
    <w:multiLevelType w:val="hybridMultilevel"/>
    <w:tmpl w:val="6040FF7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594076C"/>
    <w:multiLevelType w:val="hybridMultilevel"/>
    <w:tmpl w:val="DCC4E44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9747A6"/>
    <w:multiLevelType w:val="hybridMultilevel"/>
    <w:tmpl w:val="BC34C886"/>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5" w15:restartNumberingAfterBreak="0">
    <w:nsid w:val="24976086"/>
    <w:multiLevelType w:val="hybridMultilevel"/>
    <w:tmpl w:val="82AA2CC4"/>
    <w:lvl w:ilvl="0" w:tplc="080A0001">
      <w:start w:val="1"/>
      <w:numFmt w:val="bullet"/>
      <w:lvlText w:val=""/>
      <w:lvlJc w:val="left"/>
      <w:pPr>
        <w:ind w:left="1980" w:hanging="360"/>
      </w:pPr>
      <w:rPr>
        <w:rFonts w:ascii="Symbol" w:hAnsi="Symbol" w:hint="default"/>
      </w:rPr>
    </w:lvl>
    <w:lvl w:ilvl="1" w:tplc="080A0003" w:tentative="1">
      <w:start w:val="1"/>
      <w:numFmt w:val="bullet"/>
      <w:lvlText w:val="o"/>
      <w:lvlJc w:val="left"/>
      <w:pPr>
        <w:ind w:left="2700" w:hanging="360"/>
      </w:pPr>
      <w:rPr>
        <w:rFonts w:ascii="Courier New" w:hAnsi="Courier New" w:cs="Courier New" w:hint="default"/>
      </w:rPr>
    </w:lvl>
    <w:lvl w:ilvl="2" w:tplc="080A0005" w:tentative="1">
      <w:start w:val="1"/>
      <w:numFmt w:val="bullet"/>
      <w:lvlText w:val=""/>
      <w:lvlJc w:val="left"/>
      <w:pPr>
        <w:ind w:left="3420" w:hanging="360"/>
      </w:pPr>
      <w:rPr>
        <w:rFonts w:ascii="Wingdings" w:hAnsi="Wingdings" w:hint="default"/>
      </w:rPr>
    </w:lvl>
    <w:lvl w:ilvl="3" w:tplc="080A0001" w:tentative="1">
      <w:start w:val="1"/>
      <w:numFmt w:val="bullet"/>
      <w:lvlText w:val=""/>
      <w:lvlJc w:val="left"/>
      <w:pPr>
        <w:ind w:left="4140" w:hanging="360"/>
      </w:pPr>
      <w:rPr>
        <w:rFonts w:ascii="Symbol" w:hAnsi="Symbol" w:hint="default"/>
      </w:rPr>
    </w:lvl>
    <w:lvl w:ilvl="4" w:tplc="080A0003" w:tentative="1">
      <w:start w:val="1"/>
      <w:numFmt w:val="bullet"/>
      <w:lvlText w:val="o"/>
      <w:lvlJc w:val="left"/>
      <w:pPr>
        <w:ind w:left="4860" w:hanging="360"/>
      </w:pPr>
      <w:rPr>
        <w:rFonts w:ascii="Courier New" w:hAnsi="Courier New" w:cs="Courier New" w:hint="default"/>
      </w:rPr>
    </w:lvl>
    <w:lvl w:ilvl="5" w:tplc="080A0005" w:tentative="1">
      <w:start w:val="1"/>
      <w:numFmt w:val="bullet"/>
      <w:lvlText w:val=""/>
      <w:lvlJc w:val="left"/>
      <w:pPr>
        <w:ind w:left="5580" w:hanging="360"/>
      </w:pPr>
      <w:rPr>
        <w:rFonts w:ascii="Wingdings" w:hAnsi="Wingdings" w:hint="default"/>
      </w:rPr>
    </w:lvl>
    <w:lvl w:ilvl="6" w:tplc="080A0001" w:tentative="1">
      <w:start w:val="1"/>
      <w:numFmt w:val="bullet"/>
      <w:lvlText w:val=""/>
      <w:lvlJc w:val="left"/>
      <w:pPr>
        <w:ind w:left="6300" w:hanging="360"/>
      </w:pPr>
      <w:rPr>
        <w:rFonts w:ascii="Symbol" w:hAnsi="Symbol" w:hint="default"/>
      </w:rPr>
    </w:lvl>
    <w:lvl w:ilvl="7" w:tplc="080A0003" w:tentative="1">
      <w:start w:val="1"/>
      <w:numFmt w:val="bullet"/>
      <w:lvlText w:val="o"/>
      <w:lvlJc w:val="left"/>
      <w:pPr>
        <w:ind w:left="7020" w:hanging="360"/>
      </w:pPr>
      <w:rPr>
        <w:rFonts w:ascii="Courier New" w:hAnsi="Courier New" w:cs="Courier New" w:hint="default"/>
      </w:rPr>
    </w:lvl>
    <w:lvl w:ilvl="8" w:tplc="080A0005" w:tentative="1">
      <w:start w:val="1"/>
      <w:numFmt w:val="bullet"/>
      <w:lvlText w:val=""/>
      <w:lvlJc w:val="left"/>
      <w:pPr>
        <w:ind w:left="7740" w:hanging="360"/>
      </w:pPr>
      <w:rPr>
        <w:rFonts w:ascii="Wingdings" w:hAnsi="Wingdings" w:hint="default"/>
      </w:rPr>
    </w:lvl>
  </w:abstractNum>
  <w:abstractNum w:abstractNumId="6" w15:restartNumberingAfterBreak="0">
    <w:nsid w:val="2C4C1C34"/>
    <w:multiLevelType w:val="hybridMultilevel"/>
    <w:tmpl w:val="3D5E9A1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8C929A6"/>
    <w:multiLevelType w:val="hybridMultilevel"/>
    <w:tmpl w:val="1124E08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7F696A"/>
    <w:multiLevelType w:val="hybridMultilevel"/>
    <w:tmpl w:val="C20A727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9667C7"/>
    <w:multiLevelType w:val="hybridMultilevel"/>
    <w:tmpl w:val="B1021D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867D23"/>
    <w:multiLevelType w:val="hybridMultilevel"/>
    <w:tmpl w:val="8FD6661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270DE8"/>
    <w:multiLevelType w:val="hybridMultilevel"/>
    <w:tmpl w:val="67BC36E4"/>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55F01AB8"/>
    <w:multiLevelType w:val="hybridMultilevel"/>
    <w:tmpl w:val="66401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B896C8C"/>
    <w:multiLevelType w:val="hybridMultilevel"/>
    <w:tmpl w:val="F9028E0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61EA1241"/>
    <w:multiLevelType w:val="hybridMultilevel"/>
    <w:tmpl w:val="86FC0FB4"/>
    <w:lvl w:ilvl="0" w:tplc="EAA09B68">
      <w:start w:val="1"/>
      <w:numFmt w:val="lowerLetter"/>
      <w:lvlText w:val="%1)"/>
      <w:lvlJc w:val="left"/>
      <w:pPr>
        <w:ind w:left="1260" w:hanging="54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0F403DA"/>
    <w:multiLevelType w:val="hybridMultilevel"/>
    <w:tmpl w:val="C97AD2C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49B3985"/>
    <w:multiLevelType w:val="hybridMultilevel"/>
    <w:tmpl w:val="E27419F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7CE6CFE"/>
    <w:multiLevelType w:val="hybridMultilevel"/>
    <w:tmpl w:val="9E268F0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12"/>
  </w:num>
  <w:num w:numId="5">
    <w:abstractNumId w:val="11"/>
  </w:num>
  <w:num w:numId="6">
    <w:abstractNumId w:val="1"/>
  </w:num>
  <w:num w:numId="7">
    <w:abstractNumId w:val="2"/>
  </w:num>
  <w:num w:numId="8">
    <w:abstractNumId w:val="13"/>
  </w:num>
  <w:num w:numId="9">
    <w:abstractNumId w:val="16"/>
  </w:num>
  <w:num w:numId="10">
    <w:abstractNumId w:val="3"/>
  </w:num>
  <w:num w:numId="11">
    <w:abstractNumId w:val="15"/>
  </w:num>
  <w:num w:numId="12">
    <w:abstractNumId w:val="0"/>
  </w:num>
  <w:num w:numId="13">
    <w:abstractNumId w:val="8"/>
  </w:num>
  <w:num w:numId="14">
    <w:abstractNumId w:val="10"/>
  </w:num>
  <w:num w:numId="15">
    <w:abstractNumId w:val="17"/>
  </w:num>
  <w:num w:numId="16">
    <w:abstractNumId w:val="7"/>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87"/>
    <w:rsid w:val="000646C8"/>
    <w:rsid w:val="00142710"/>
    <w:rsid w:val="00150187"/>
    <w:rsid w:val="00174712"/>
    <w:rsid w:val="001943C2"/>
    <w:rsid w:val="00235868"/>
    <w:rsid w:val="00281540"/>
    <w:rsid w:val="00357471"/>
    <w:rsid w:val="00396354"/>
    <w:rsid w:val="003B5323"/>
    <w:rsid w:val="00476ED3"/>
    <w:rsid w:val="0051549A"/>
    <w:rsid w:val="00557665"/>
    <w:rsid w:val="00651099"/>
    <w:rsid w:val="00760BC6"/>
    <w:rsid w:val="00791779"/>
    <w:rsid w:val="0081273D"/>
    <w:rsid w:val="00843A72"/>
    <w:rsid w:val="00866D69"/>
    <w:rsid w:val="00871AE7"/>
    <w:rsid w:val="00900D8C"/>
    <w:rsid w:val="00AE4153"/>
    <w:rsid w:val="00B112DF"/>
    <w:rsid w:val="00B21898"/>
    <w:rsid w:val="00D511D3"/>
    <w:rsid w:val="00DC5C6F"/>
    <w:rsid w:val="00E12619"/>
    <w:rsid w:val="00F900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7001"/>
  <w15:chartTrackingRefBased/>
  <w15:docId w15:val="{1D54C41F-637F-4D94-B8E9-4B29A768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6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8037">
      <w:bodyDiv w:val="1"/>
      <w:marLeft w:val="0"/>
      <w:marRight w:val="0"/>
      <w:marTop w:val="0"/>
      <w:marBottom w:val="0"/>
      <w:divBdr>
        <w:top w:val="none" w:sz="0" w:space="0" w:color="auto"/>
        <w:left w:val="none" w:sz="0" w:space="0" w:color="auto"/>
        <w:bottom w:val="none" w:sz="0" w:space="0" w:color="auto"/>
        <w:right w:val="none" w:sz="0" w:space="0" w:color="auto"/>
      </w:divBdr>
    </w:div>
    <w:div w:id="89721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1063</Words>
  <Characters>5852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cepeda</dc:creator>
  <cp:keywords/>
  <dc:description/>
  <cp:lastModifiedBy>marian cepeda</cp:lastModifiedBy>
  <cp:revision>2</cp:revision>
  <dcterms:created xsi:type="dcterms:W3CDTF">2021-04-27T15:26:00Z</dcterms:created>
  <dcterms:modified xsi:type="dcterms:W3CDTF">2021-04-27T15:26:00Z</dcterms:modified>
</cp:coreProperties>
</file>