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85" w:rsidRDefault="00B52685" w:rsidP="00065B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95EDBA" wp14:editId="1BCDC620">
            <wp:simplePos x="0" y="0"/>
            <wp:positionH relativeFrom="column">
              <wp:posOffset>-880110</wp:posOffset>
            </wp:positionH>
            <wp:positionV relativeFrom="paragraph">
              <wp:posOffset>-424815</wp:posOffset>
            </wp:positionV>
            <wp:extent cx="1878965" cy="1400175"/>
            <wp:effectExtent l="0" t="0" r="698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B8B" w:rsidRPr="00065B8B" w:rsidRDefault="00BB259F" w:rsidP="00B526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B259F" w:rsidRDefault="00BB259F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 xml:space="preserve"> “Escuela Normal de Educación Preescolar”</w:t>
      </w:r>
      <w:r w:rsidRPr="00065B8B">
        <w:rPr>
          <w:rFonts w:ascii="Arial" w:hAnsi="Arial" w:cs="Arial"/>
          <w:sz w:val="28"/>
          <w:szCs w:val="24"/>
        </w:rPr>
        <w:br/>
        <w:t xml:space="preserve">     Licenciatura en Educación Preescolar</w:t>
      </w:r>
    </w:p>
    <w:p w:rsidR="00B52685" w:rsidRPr="00065B8B" w:rsidRDefault="00B52685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B259F" w:rsidRPr="00065B8B" w:rsidRDefault="00BB259F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>Ciclo escolar 2020-2021</w:t>
      </w:r>
    </w:p>
    <w:p w:rsidR="00BB259F" w:rsidRPr="00065B8B" w:rsidRDefault="00BB259F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>Curso: Prácticas sociales del lenguaje</w:t>
      </w:r>
    </w:p>
    <w:p w:rsidR="00BB259F" w:rsidRPr="00065B8B" w:rsidRDefault="00BB259F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>Segundo semestre.</w:t>
      </w:r>
    </w:p>
    <w:p w:rsidR="00BB259F" w:rsidRDefault="00BB259F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 xml:space="preserve">Nombre del titular: Mtra. Yara Alejandra </w:t>
      </w:r>
      <w:r w:rsidR="00065B8B" w:rsidRPr="00065B8B">
        <w:rPr>
          <w:rFonts w:ascii="Arial" w:hAnsi="Arial" w:cs="Arial"/>
          <w:sz w:val="28"/>
          <w:szCs w:val="24"/>
        </w:rPr>
        <w:t>Hernández</w:t>
      </w:r>
      <w:r w:rsidRPr="00065B8B">
        <w:rPr>
          <w:rFonts w:ascii="Arial" w:hAnsi="Arial" w:cs="Arial"/>
          <w:sz w:val="28"/>
          <w:szCs w:val="24"/>
        </w:rPr>
        <w:t xml:space="preserve"> Fi</w:t>
      </w:r>
      <w:r w:rsidR="00065B8B" w:rsidRPr="00065B8B">
        <w:rPr>
          <w:rFonts w:ascii="Arial" w:hAnsi="Arial" w:cs="Arial"/>
          <w:sz w:val="28"/>
          <w:szCs w:val="24"/>
        </w:rPr>
        <w:t>gueroa</w:t>
      </w:r>
    </w:p>
    <w:p w:rsidR="007B3F92" w:rsidRDefault="007B3F92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Cuadro de doble entrada 3 autores</w:t>
      </w:r>
    </w:p>
    <w:p w:rsidR="00B52685" w:rsidRDefault="00B52685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52685" w:rsidRPr="00065B8B" w:rsidRDefault="00B52685" w:rsidP="00BB259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065B8B" w:rsidRPr="00065B8B" w:rsidTr="00065B8B">
        <w:trPr>
          <w:tblCellSpacing w:w="15" w:type="dxa"/>
        </w:trPr>
        <w:tc>
          <w:tcPr>
            <w:tcW w:w="0" w:type="auto"/>
            <w:hideMark/>
          </w:tcPr>
          <w:p w:rsidR="00065B8B" w:rsidRPr="00065B8B" w:rsidRDefault="00065B8B" w:rsidP="00065B8B">
            <w:pPr>
              <w:spacing w:after="0" w:line="36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065B8B"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  <w:t>UNIDAD I INVESTIGACIÓN DE LAS IMPLICACIONES QUE TIENE EL LENGUAJE COMO FUNCIÓN SOCIAL.</w:t>
            </w:r>
          </w:p>
        </w:tc>
      </w:tr>
      <w:tr w:rsidR="00065B8B" w:rsidRPr="00065B8B" w:rsidTr="00065B8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065B8B" w:rsidRPr="00065B8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65B8B" w:rsidRPr="00065B8B" w:rsidRDefault="00065B8B" w:rsidP="00065B8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eastAsia="es-MX"/>
                    </w:rPr>
                  </w:pPr>
                  <w:r w:rsidRPr="00065B8B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 wp14:anchorId="0DF99DD6" wp14:editId="3C28C9F3">
                        <wp:extent cx="104775" cy="104775"/>
                        <wp:effectExtent l="0" t="0" r="9525" b="952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65B8B" w:rsidRPr="00065B8B" w:rsidRDefault="00065B8B" w:rsidP="00065B8B">
                  <w:pPr>
                    <w:spacing w:after="0" w:line="240" w:lineRule="auto"/>
                    <w:ind w:left="6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eastAsia="es-MX"/>
                    </w:rPr>
                  </w:pPr>
                  <w:r w:rsidRPr="00065B8B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065B8B" w:rsidRPr="00065B8B" w:rsidRDefault="00065B8B" w:rsidP="00065B8B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</w:p>
        </w:tc>
      </w:tr>
      <w:tr w:rsidR="00BB259F" w:rsidRPr="00065B8B" w:rsidTr="00085CDD">
        <w:trPr>
          <w:tblCellSpacing w:w="15" w:type="dxa"/>
        </w:trPr>
        <w:tc>
          <w:tcPr>
            <w:tcW w:w="0" w:type="auto"/>
            <w:hideMark/>
          </w:tcPr>
          <w:p w:rsidR="00BB259F" w:rsidRPr="00065B8B" w:rsidRDefault="00BB259F" w:rsidP="00085CDD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</w:p>
        </w:tc>
      </w:tr>
    </w:tbl>
    <w:p w:rsidR="00BB259F" w:rsidRPr="00065B8B" w:rsidRDefault="00BB259F" w:rsidP="00BB259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4"/>
          <w:lang w:eastAsia="es-MX"/>
        </w:rPr>
      </w:pPr>
    </w:p>
    <w:p w:rsidR="00BB259F" w:rsidRDefault="00BB259F" w:rsidP="00BB259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65B8B">
        <w:rPr>
          <w:rFonts w:ascii="Arial" w:hAnsi="Arial" w:cs="Arial"/>
          <w:sz w:val="28"/>
          <w:szCs w:val="24"/>
        </w:rPr>
        <w:t>Sección: “A”.</w:t>
      </w:r>
    </w:p>
    <w:p w:rsidR="00B52685" w:rsidRDefault="00B52685" w:rsidP="00BB259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52685" w:rsidRDefault="00B52685" w:rsidP="00BB259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52685" w:rsidRPr="00065B8B" w:rsidRDefault="00B52685" w:rsidP="007B3F92">
      <w:pPr>
        <w:tabs>
          <w:tab w:val="left" w:pos="720"/>
        </w:tabs>
        <w:spacing w:line="360" w:lineRule="auto"/>
        <w:rPr>
          <w:rFonts w:ascii="Arial" w:hAnsi="Arial" w:cs="Arial"/>
          <w:sz w:val="28"/>
          <w:szCs w:val="24"/>
        </w:rPr>
      </w:pPr>
    </w:p>
    <w:p w:rsidR="000C142C" w:rsidRPr="00B52685" w:rsidRDefault="00BB259F" w:rsidP="00B52685">
      <w:pPr>
        <w:spacing w:line="360" w:lineRule="auto"/>
        <w:jc w:val="center"/>
        <w:rPr>
          <w:rFonts w:ascii="Arial" w:hAnsi="Arial" w:cs="Arial"/>
          <w:sz w:val="28"/>
        </w:rPr>
      </w:pPr>
      <w:r w:rsidRPr="00065B8B">
        <w:rPr>
          <w:rFonts w:ascii="Arial" w:hAnsi="Arial" w:cs="Arial"/>
          <w:sz w:val="28"/>
        </w:rPr>
        <w:t xml:space="preserve">Saltillo, Coahuila         10 de marzo </w:t>
      </w:r>
      <w:r w:rsidR="00B52685">
        <w:rPr>
          <w:rFonts w:ascii="Arial" w:hAnsi="Arial" w:cs="Arial"/>
          <w:sz w:val="28"/>
        </w:rPr>
        <w:t>2021</w:t>
      </w:r>
    </w:p>
    <w:tbl>
      <w:tblPr>
        <w:tblStyle w:val="Cuadrculamedia1-nfasis4"/>
        <w:tblpPr w:leftFromText="141" w:rightFromText="141" w:vertAnchor="text" w:horzAnchor="margin" w:tblpXSpec="center" w:tblpY="-7307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4569"/>
        <w:gridCol w:w="5070"/>
      </w:tblGrid>
      <w:tr w:rsidR="004C3F20" w:rsidRPr="000C142C" w:rsidTr="0043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4C3F20" w:rsidRPr="000C142C" w:rsidRDefault="004C3F20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142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AUTOR</w:t>
            </w:r>
          </w:p>
        </w:tc>
        <w:tc>
          <w:tcPr>
            <w:tcW w:w="4569" w:type="dxa"/>
            <w:hideMark/>
          </w:tcPr>
          <w:p w:rsidR="004C3F20" w:rsidRPr="000C142C" w:rsidRDefault="004C3F20" w:rsidP="00A24923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142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5070" w:type="dxa"/>
            <w:hideMark/>
          </w:tcPr>
          <w:p w:rsidR="004C3F20" w:rsidRPr="000C142C" w:rsidRDefault="004C3F20" w:rsidP="00A24923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142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CARACTERÍSTICAS</w:t>
            </w:r>
          </w:p>
        </w:tc>
      </w:tr>
      <w:tr w:rsidR="004C3F20" w:rsidRPr="000C142C" w:rsidTr="0043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4C3F20" w:rsidRPr="000C142C" w:rsidRDefault="00434B48" w:rsidP="00A24923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  <w:t xml:space="preserve">   </w:t>
            </w:r>
            <w:r w:rsidR="004C3F20" w:rsidRPr="00434B48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  <w:t>SEP</w:t>
            </w:r>
            <w:r w:rsidR="004C3F20"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69" w:type="dxa"/>
            <w:hideMark/>
          </w:tcPr>
          <w:p w:rsidR="00F33E5B" w:rsidRDefault="00F33E5B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33E5B" w:rsidRDefault="00F33E5B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8A2BC5">
              <w:rPr>
                <w:rFonts w:ascii="Arial" w:hAnsi="Arial" w:cs="Arial"/>
                <w:sz w:val="24"/>
                <w:szCs w:val="24"/>
              </w:rPr>
              <w:t>Son pautas o modos de interacción que, además de la producción o interpretación de textos orales y escritos, incluyen una serie de actividades vinculadas con éstas. Cada práctica está orientada por una finalidad comunicativa y tiene una historia ligada a una situación cultural</w:t>
            </w:r>
            <w:r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Tienen como propósito ampliar los espacios de incidencia de los jóvenes y favorecer el desarrollo de otras formas de comprender el mundo y actuar en él</w:t>
            </w:r>
          </w:p>
          <w:p w:rsidR="004C3F20" w:rsidRPr="000C142C" w:rsidRDefault="004C3F20" w:rsidP="00A24923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70" w:type="dxa"/>
            <w:hideMark/>
          </w:tcPr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A2BC5">
              <w:rPr>
                <w:rFonts w:ascii="Arial" w:hAnsi="Arial" w:cs="Arial"/>
                <w:sz w:val="24"/>
                <w:szCs w:val="24"/>
              </w:rPr>
              <w:t>Todas las prácticas sociales como la mesa familiar, un debate televisivo, un oficio religioso, un trámite en una oficina, o en la defensa o acusación de alguien en un juicio, involucran usos del lenguaje y modos de interacción distintos que requieren de un esfuerzo y una preparación también disímiles</w:t>
            </w:r>
          </w:p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-Comprenden los diferentes modos de leer, interpretar, estudiar y compartir los textos, de aproximarse a su escritura y de participar en los intercambios orales y analizarlos.</w:t>
            </w:r>
          </w:p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-Constituyen el eje central en la definición de los contenidos del programa pues permiten preservar las funciones y el valor que el lenguaje oral y escrito tiene fuera de la escuela.</w:t>
            </w:r>
          </w:p>
          <w:p w:rsidR="004C3F20" w:rsidRPr="000C142C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-Ubicadas en cada ámbito se desglosan, a su vez, en prácticas más específicas, que son las que constituyen los contenidos de los grados escolares.</w:t>
            </w:r>
          </w:p>
        </w:tc>
      </w:tr>
      <w:tr w:rsidR="00A24923" w:rsidRPr="000C142C" w:rsidTr="00434B48">
        <w:trPr>
          <w:trHeight w:val="6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A24923" w:rsidRDefault="004C3F20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4C3F20" w:rsidRPr="000C142C" w:rsidRDefault="004C3F20" w:rsidP="00A24923">
            <w:pPr>
              <w:spacing w:before="100" w:beforeAutospacing="1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34B48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  <w:t>Bautier y Bucheton</w:t>
            </w:r>
          </w:p>
        </w:tc>
        <w:tc>
          <w:tcPr>
            <w:tcW w:w="4569" w:type="dxa"/>
            <w:hideMark/>
          </w:tcPr>
          <w:p w:rsidR="00F33E5B" w:rsidRDefault="00F33E5B" w:rsidP="00A24923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33E5B" w:rsidRDefault="00F33E5B" w:rsidP="00A24923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33E5B" w:rsidRDefault="00F33E5B" w:rsidP="00A24923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C3F20" w:rsidRPr="000C142C" w:rsidRDefault="004C3F20" w:rsidP="00A24923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Incluye los saberes y las prácticas que el enseñante refiere conscientemente o no en su enseñanza.</w:t>
            </w:r>
            <w:r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A2BC5">
              <w:rPr>
                <w:rFonts w:ascii="Arial" w:hAnsi="Arial" w:cs="Arial"/>
                <w:sz w:val="24"/>
                <w:szCs w:val="24"/>
              </w:rPr>
              <w:t>Posibilita objetivar y analizar el interés y los límites de las prácticas innovadoras. Debe permitir reconsiderar los objetivos de la disciplina que conduce a "escolarizar" lo que es parte de los saberes cotidianos de los alumnos, puede facilitar el otorgar una mayor coherencia a las prácticas y contenidos</w:t>
            </w:r>
          </w:p>
        </w:tc>
        <w:tc>
          <w:tcPr>
            <w:tcW w:w="5070" w:type="dxa"/>
            <w:hideMark/>
          </w:tcPr>
          <w:p w:rsidR="004C3F20" w:rsidRPr="008A2BC5" w:rsidRDefault="004C3F20" w:rsidP="00A24923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-Se puede identificar la enseñanza de formas discursivas que  no son definidas por sus soportes o las situaciones de producción, sino por su construcción discursiva, y que, en las últimas décadas, no eran consideradas como escolares.</w:t>
            </w:r>
            <w:r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4C3F20" w:rsidRPr="008A2BC5" w:rsidRDefault="004C3F20" w:rsidP="00A24923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A2BC5">
              <w:rPr>
                <w:rFonts w:ascii="Arial" w:hAnsi="Arial" w:cs="Arial"/>
                <w:sz w:val="24"/>
                <w:szCs w:val="24"/>
              </w:rPr>
              <w:t xml:space="preserve"> Se efectúa a diversos niveles, muy diferentes y raramente pensados en profundidad como dependientes. Hacer conocer a los alumnos un cierto número de usos no escolares del lenguaje con una preocupación por el dominio de su producción: es así que los alumnos aprenden cómo escribir recetas de cocina, artículos de diario, cartas administrativas, afiches, comentarios de imágenes, historietas...</w:t>
            </w:r>
          </w:p>
          <w:p w:rsidR="004C3F20" w:rsidRPr="008A2BC5" w:rsidRDefault="004C3F20" w:rsidP="00A24923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 Se distinguen varios modos pedagógicos, de referencia a las prácticas sociales; unos consientes y que son parte de los contenidos de enseñanza y aprendizaje, y otros no elegidos y poco conscientes y que promueven la cuestión de las prácticas del lenguaje cotidianas</w:t>
            </w:r>
          </w:p>
          <w:p w:rsidR="004C3F20" w:rsidRPr="000C142C" w:rsidRDefault="004C3F20" w:rsidP="00A24923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C3F20" w:rsidRPr="000C142C" w:rsidTr="0043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A24923" w:rsidRDefault="00A24923" w:rsidP="00A24923">
            <w:pPr>
              <w:spacing w:before="100" w:beforeAutospacing="1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A24923" w:rsidRDefault="00A24923" w:rsidP="00A24923">
            <w:pPr>
              <w:spacing w:before="100" w:beforeAutospacing="1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</w:p>
          <w:p w:rsidR="004C3F20" w:rsidRPr="000C142C" w:rsidRDefault="004C3F20" w:rsidP="00A24923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34B48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es-MX"/>
              </w:rPr>
              <w:t>Zamudio</w:t>
            </w:r>
          </w:p>
        </w:tc>
        <w:tc>
          <w:tcPr>
            <w:tcW w:w="4569" w:type="dxa"/>
            <w:hideMark/>
          </w:tcPr>
          <w:p w:rsidR="004C3F20" w:rsidRPr="008A2BC5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8A2BC5">
              <w:rPr>
                <w:rFonts w:ascii="Arial" w:hAnsi="Arial" w:cs="Arial"/>
                <w:sz w:val="24"/>
                <w:szCs w:val="24"/>
              </w:rPr>
              <w:t xml:space="preserve">on pautas o modos de interacción que, además de la producción o interpretación de textos orales y escritos, incluyen una serie de actividades vinculadas con éstas. Cada práctica está orientada por una finalidad comunicativa y tiene una historia ligada a una situación cultural particular. En la actualidad, las prácticas del lenguaje oral que involucran el diálogo son muy variadas. </w:t>
            </w:r>
          </w:p>
          <w:p w:rsidR="004C3F20" w:rsidRPr="000C142C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Constituyen el eje central en la definición de los contenidos del programa pues permiten preservar las funciones y el valor que el lenguaje oral y escrito tiene fuera de la escuela.</w:t>
            </w:r>
          </w:p>
        </w:tc>
        <w:tc>
          <w:tcPr>
            <w:tcW w:w="5070" w:type="dxa"/>
            <w:hideMark/>
          </w:tcPr>
          <w:p w:rsidR="004C3F20" w:rsidRPr="008A2BC5" w:rsidRDefault="004C3F20" w:rsidP="00A24923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A2BC5">
              <w:rPr>
                <w:rFonts w:ascii="Arial" w:hAnsi="Arial" w:cs="Arial"/>
                <w:sz w:val="24"/>
                <w:szCs w:val="24"/>
              </w:rPr>
              <w:t xml:space="preserve"> Como segunda lengua a partir de las prácticas sociales del lenguaje constituye un avance en esta dirección, pues permite reunir y secuenciar contenidos de diferente naturaleza en actividades socialmente relevantes para los estudiantes. </w:t>
            </w:r>
          </w:p>
          <w:p w:rsidR="004C3F20" w:rsidRPr="008A2BC5" w:rsidRDefault="004C3F20" w:rsidP="00A24923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hAnsi="Arial" w:cs="Arial"/>
                <w:sz w:val="24"/>
                <w:szCs w:val="24"/>
              </w:rPr>
              <w:t>-Las prácticas sociales del lenguaje que integran el programa han sido seleccionadas y analizadas. No toda interacción social mediada por el lenguaje o a propósito de él debe o puede llevarse a la escuela.</w:t>
            </w:r>
            <w:r w:rsidRPr="000C1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4C3F20" w:rsidRPr="000C142C" w:rsidRDefault="004C3F20" w:rsidP="00A2492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2B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A2BC5">
              <w:rPr>
                <w:rFonts w:ascii="Arial" w:hAnsi="Arial" w:cs="Arial"/>
                <w:sz w:val="24"/>
                <w:szCs w:val="24"/>
              </w:rPr>
              <w:t xml:space="preserve"> Lo que se requiere es que los estudiantes adquieran un conocimiento del español que les permita interactuar de manera oral y escrita, en el contexto escolar y en el extraescolar con personas cuya lengua materna sea el español o alguna lengua indígena diferente de la suya. </w:t>
            </w:r>
          </w:p>
        </w:tc>
      </w:tr>
    </w:tbl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59932043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7B3F92" w:rsidRDefault="007B3F92" w:rsidP="007B3F92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392786810"/>
            <w:bibliography/>
          </w:sdtPr>
          <w:sdtEndPr/>
          <w:sdtContent>
            <w:p w:rsidR="007B3F92" w:rsidRDefault="007B3F92" w:rsidP="007B3F92">
              <w:pPr>
                <w:numPr>
                  <w:ilvl w:val="0"/>
                  <w:numId w:val="2"/>
                </w:numPr>
              </w:pPr>
              <w:r w:rsidRPr="007B3F92">
                <w:t>Bautier, E.; Bucheton, D. 1 (1997) ¿Prácticas sociolingüísticas en la clase de francés? ¿Qué está en juego? ¿Cuáles son los pasos? Selecciones. Instituto Nacional de Investigación Educativa, 15(13), 1 1-25.</w:t>
              </w:r>
              <w:r w:rsidRPr="0075441E">
                <w:t>Zamudio, C. y Díaz, C. (2015) “Prácticas sociales del lenguaje”. En Español como segunda lengua, Libro para el maestro, Educación primaria indígena y de la población migrante. México: SEP</w:t>
              </w:r>
            </w:p>
            <w:p w:rsidR="007B3F92" w:rsidRDefault="007B3F92" w:rsidP="007B3F92">
              <w:pPr>
                <w:numPr>
                  <w:ilvl w:val="0"/>
                  <w:numId w:val="2"/>
                </w:numPr>
              </w:pPr>
              <w:r>
                <w:t>SECRETARÍA DE EDUCACIÓN PÚBLICA, 2006</w:t>
              </w:r>
            </w:p>
          </w:sdtContent>
        </w:sdt>
      </w:sdtContent>
    </w:sdt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142C" w:rsidRDefault="000C142C" w:rsidP="000C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B532F" w:rsidRDefault="00BB532F" w:rsidP="007B3F92">
      <w:pPr>
        <w:pStyle w:val="Ttulo1"/>
      </w:pPr>
    </w:p>
    <w:sectPr w:rsidR="00BB532F" w:rsidSect="002E4E3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58" w:rsidRDefault="00795658" w:rsidP="008A2BC5">
      <w:pPr>
        <w:spacing w:after="0" w:line="240" w:lineRule="auto"/>
      </w:pPr>
      <w:r>
        <w:separator/>
      </w:r>
    </w:p>
  </w:endnote>
  <w:endnote w:type="continuationSeparator" w:id="0">
    <w:p w:rsidR="00795658" w:rsidRDefault="00795658" w:rsidP="008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58" w:rsidRDefault="00795658" w:rsidP="008A2BC5">
      <w:pPr>
        <w:spacing w:after="0" w:line="240" w:lineRule="auto"/>
      </w:pPr>
      <w:r>
        <w:separator/>
      </w:r>
    </w:p>
  </w:footnote>
  <w:footnote w:type="continuationSeparator" w:id="0">
    <w:p w:rsidR="00795658" w:rsidRDefault="00795658" w:rsidP="008A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85" w:rsidRDefault="00B52685">
    <w:pPr>
      <w:pStyle w:val="Encabezado"/>
    </w:pPr>
  </w:p>
  <w:p w:rsidR="004C3F20" w:rsidRDefault="004C3F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59E"/>
    <w:multiLevelType w:val="hybridMultilevel"/>
    <w:tmpl w:val="577CAC30"/>
    <w:lvl w:ilvl="0" w:tplc="3B2C7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CD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89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2B8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CB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04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8E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26C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C2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2C"/>
    <w:rsid w:val="00024C4D"/>
    <w:rsid w:val="00065B8B"/>
    <w:rsid w:val="0006740E"/>
    <w:rsid w:val="000B0D34"/>
    <w:rsid w:val="000C142C"/>
    <w:rsid w:val="001E770F"/>
    <w:rsid w:val="00283605"/>
    <w:rsid w:val="002E4E34"/>
    <w:rsid w:val="00434B48"/>
    <w:rsid w:val="0043539F"/>
    <w:rsid w:val="004B3784"/>
    <w:rsid w:val="004C3F20"/>
    <w:rsid w:val="004D5B4A"/>
    <w:rsid w:val="004E027D"/>
    <w:rsid w:val="006C29ED"/>
    <w:rsid w:val="00742153"/>
    <w:rsid w:val="0075441E"/>
    <w:rsid w:val="007616E7"/>
    <w:rsid w:val="00795658"/>
    <w:rsid w:val="007B3F92"/>
    <w:rsid w:val="007D0854"/>
    <w:rsid w:val="007E661C"/>
    <w:rsid w:val="008A2BC5"/>
    <w:rsid w:val="00967CEB"/>
    <w:rsid w:val="00A24923"/>
    <w:rsid w:val="00A7224E"/>
    <w:rsid w:val="00A76ED9"/>
    <w:rsid w:val="00AD6BC5"/>
    <w:rsid w:val="00B52685"/>
    <w:rsid w:val="00B66091"/>
    <w:rsid w:val="00BB259F"/>
    <w:rsid w:val="00BB532F"/>
    <w:rsid w:val="00C856B2"/>
    <w:rsid w:val="00CC7F15"/>
    <w:rsid w:val="00CE3AE2"/>
    <w:rsid w:val="00D329B5"/>
    <w:rsid w:val="00D37103"/>
    <w:rsid w:val="00E336A5"/>
    <w:rsid w:val="00E52208"/>
    <w:rsid w:val="00E86BCF"/>
    <w:rsid w:val="00E94336"/>
    <w:rsid w:val="00EB2A88"/>
    <w:rsid w:val="00F33E5B"/>
    <w:rsid w:val="00F90BF8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2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2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C5"/>
  </w:style>
  <w:style w:type="paragraph" w:styleId="Piedepgina">
    <w:name w:val="footer"/>
    <w:basedOn w:val="Normal"/>
    <w:link w:val="PiedepginaCar"/>
    <w:uiPriority w:val="99"/>
    <w:unhideWhenUsed/>
    <w:rsid w:val="008A2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C5"/>
  </w:style>
  <w:style w:type="paragraph" w:styleId="Textodeglobo">
    <w:name w:val="Balloon Text"/>
    <w:basedOn w:val="Normal"/>
    <w:link w:val="TextodegloboCar"/>
    <w:uiPriority w:val="99"/>
    <w:semiHidden/>
    <w:unhideWhenUsed/>
    <w:rsid w:val="0006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8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2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table" w:styleId="Listamedia2-nfasis4">
    <w:name w:val="Medium List 2 Accent 4"/>
    <w:basedOn w:val="Tablanormal"/>
    <w:uiPriority w:val="66"/>
    <w:rsid w:val="00A249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434B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2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2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C5"/>
  </w:style>
  <w:style w:type="paragraph" w:styleId="Piedepgina">
    <w:name w:val="footer"/>
    <w:basedOn w:val="Normal"/>
    <w:link w:val="PiedepginaCar"/>
    <w:uiPriority w:val="99"/>
    <w:unhideWhenUsed/>
    <w:rsid w:val="008A2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C5"/>
  </w:style>
  <w:style w:type="paragraph" w:styleId="Textodeglobo">
    <w:name w:val="Balloon Text"/>
    <w:basedOn w:val="Normal"/>
    <w:link w:val="TextodegloboCar"/>
    <w:uiPriority w:val="99"/>
    <w:semiHidden/>
    <w:unhideWhenUsed/>
    <w:rsid w:val="0006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8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2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table" w:styleId="Listamedia2-nfasis4">
    <w:name w:val="Medium List 2 Accent 4"/>
    <w:basedOn w:val="Tablanormal"/>
    <w:uiPriority w:val="66"/>
    <w:rsid w:val="00A249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434B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B6FB-6B98-42BC-9FC4-33C153B5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2</cp:revision>
  <dcterms:created xsi:type="dcterms:W3CDTF">2021-03-13T03:36:00Z</dcterms:created>
  <dcterms:modified xsi:type="dcterms:W3CDTF">2021-03-13T03:36:00Z</dcterms:modified>
</cp:coreProperties>
</file>