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61" w:rsidRPr="00B53047" w:rsidRDefault="00074961" w:rsidP="00074961">
      <w:pPr>
        <w:jc w:val="center"/>
        <w:rPr>
          <w:rFonts w:ascii="Arial" w:hAnsi="Arial" w:cs="Arial"/>
          <w:b/>
          <w:sz w:val="28"/>
        </w:rPr>
      </w:pPr>
      <w:r w:rsidRPr="00B53047">
        <w:rPr>
          <w:rFonts w:ascii="Arial" w:hAnsi="Arial" w:cs="Arial"/>
          <w:b/>
          <w:sz w:val="28"/>
        </w:rPr>
        <w:t>ESCUELA NORMAL DE EDUCACIÓN PREESCOLAR DEL ESTADO DE COAHUILA DE ZARAGOZA</w:t>
      </w:r>
    </w:p>
    <w:p w:rsidR="00074961" w:rsidRDefault="00074961" w:rsidP="00074961">
      <w:pPr>
        <w:jc w:val="center"/>
        <w:rPr>
          <w:rFonts w:ascii="Arial" w:hAnsi="Arial" w:cs="Arial"/>
          <w:b/>
          <w:sz w:val="32"/>
        </w:rPr>
      </w:pPr>
      <w:r w:rsidRPr="00B53047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01C7157A" wp14:editId="4D8F930E">
            <wp:simplePos x="0" y="0"/>
            <wp:positionH relativeFrom="column">
              <wp:posOffset>3196590</wp:posOffset>
            </wp:positionH>
            <wp:positionV relativeFrom="paragraph">
              <wp:posOffset>112395</wp:posOffset>
            </wp:positionV>
            <wp:extent cx="1600200" cy="118173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938" r="894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961" w:rsidRDefault="00074961" w:rsidP="00074961">
      <w:pPr>
        <w:jc w:val="center"/>
        <w:rPr>
          <w:rFonts w:ascii="Arial" w:hAnsi="Arial" w:cs="Arial"/>
          <w:b/>
          <w:sz w:val="32"/>
        </w:rPr>
      </w:pPr>
    </w:p>
    <w:p w:rsidR="00074961" w:rsidRDefault="00074961" w:rsidP="00074961">
      <w:pPr>
        <w:jc w:val="center"/>
        <w:rPr>
          <w:rFonts w:ascii="Arial" w:hAnsi="Arial" w:cs="Arial"/>
          <w:b/>
          <w:sz w:val="32"/>
        </w:rPr>
      </w:pPr>
    </w:p>
    <w:p w:rsidR="00074961" w:rsidRDefault="00074961" w:rsidP="00074961">
      <w:pPr>
        <w:jc w:val="center"/>
        <w:rPr>
          <w:rFonts w:ascii="Arial" w:hAnsi="Arial" w:cs="Arial"/>
          <w:b/>
          <w:sz w:val="32"/>
        </w:rPr>
      </w:pPr>
    </w:p>
    <w:p w:rsidR="00074961" w:rsidRPr="00074961" w:rsidRDefault="00074961" w:rsidP="00074961">
      <w:pPr>
        <w:jc w:val="center"/>
        <w:rPr>
          <w:rFonts w:ascii="Arial" w:hAnsi="Arial" w:cs="Arial"/>
          <w:sz w:val="28"/>
        </w:rPr>
      </w:pPr>
      <w:r w:rsidRPr="00074961">
        <w:rPr>
          <w:rFonts w:ascii="Arial" w:hAnsi="Arial" w:cs="Arial"/>
          <w:sz w:val="28"/>
        </w:rPr>
        <w:t>Estrategias de trabajo docente</w:t>
      </w:r>
    </w:p>
    <w:p w:rsidR="00074961" w:rsidRPr="00074961" w:rsidRDefault="00074961" w:rsidP="00074961">
      <w:pPr>
        <w:jc w:val="center"/>
        <w:rPr>
          <w:rFonts w:ascii="Arial" w:hAnsi="Arial" w:cs="Arial"/>
          <w:b/>
          <w:sz w:val="28"/>
        </w:rPr>
      </w:pPr>
      <w:r w:rsidRPr="00074961">
        <w:rPr>
          <w:rFonts w:ascii="Arial" w:hAnsi="Arial" w:cs="Arial"/>
          <w:b/>
          <w:sz w:val="28"/>
        </w:rPr>
        <w:t>“Saberes previos”</w:t>
      </w:r>
    </w:p>
    <w:p w:rsidR="00074961" w:rsidRPr="00074961" w:rsidRDefault="00074961" w:rsidP="00074961">
      <w:pPr>
        <w:spacing w:line="360" w:lineRule="auto"/>
        <w:jc w:val="center"/>
        <w:rPr>
          <w:rFonts w:ascii="Arial" w:eastAsia="Arial" w:hAnsi="Arial" w:cs="Arial"/>
          <w:sz w:val="24"/>
          <w:szCs w:val="28"/>
        </w:rPr>
      </w:pPr>
      <w:r w:rsidRPr="00074961">
        <w:rPr>
          <w:rFonts w:ascii="Arial" w:eastAsia="Arial" w:hAnsi="Arial" w:cs="Arial"/>
          <w:b/>
          <w:sz w:val="24"/>
          <w:szCs w:val="28"/>
        </w:rPr>
        <w:t>Docente:</w:t>
      </w:r>
      <w:r w:rsidRPr="00074961">
        <w:rPr>
          <w:rFonts w:ascii="Arial" w:eastAsia="Arial" w:hAnsi="Arial" w:cs="Arial"/>
          <w:sz w:val="24"/>
          <w:szCs w:val="28"/>
        </w:rPr>
        <w:t xml:space="preserve"> Isabel del Carmen Aguirre Ramos</w:t>
      </w:r>
    </w:p>
    <w:p w:rsidR="00074961" w:rsidRPr="00074961" w:rsidRDefault="00074961" w:rsidP="00074961">
      <w:pPr>
        <w:jc w:val="center"/>
        <w:rPr>
          <w:rFonts w:ascii="Arial" w:eastAsia="Arial" w:hAnsi="Arial" w:cs="Arial"/>
          <w:b/>
          <w:sz w:val="24"/>
          <w:szCs w:val="28"/>
        </w:rPr>
      </w:pPr>
      <w:r w:rsidRPr="00074961">
        <w:rPr>
          <w:rFonts w:ascii="Arial" w:eastAsia="Arial" w:hAnsi="Arial" w:cs="Arial"/>
          <w:b/>
          <w:sz w:val="24"/>
          <w:szCs w:val="28"/>
        </w:rPr>
        <w:t>Alumno:</w:t>
      </w:r>
    </w:p>
    <w:p w:rsidR="00074961" w:rsidRPr="00074961" w:rsidRDefault="00074961" w:rsidP="00074961">
      <w:pPr>
        <w:jc w:val="center"/>
        <w:rPr>
          <w:rFonts w:ascii="Arial" w:hAnsi="Arial" w:cs="Arial"/>
          <w:bCs/>
          <w:iCs/>
          <w:sz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lang w:val="es-ES_tradnl"/>
        </w:rPr>
        <w:t>Edgar Leyva Buendía #12</w:t>
      </w:r>
    </w:p>
    <w:p w:rsidR="00074961" w:rsidRPr="00074961" w:rsidRDefault="00074961" w:rsidP="00074961">
      <w:pPr>
        <w:rPr>
          <w:rFonts w:ascii="Arial" w:hAnsi="Arial" w:cs="Arial"/>
          <w:color w:val="000000"/>
          <w:sz w:val="24"/>
          <w:szCs w:val="24"/>
        </w:rPr>
      </w:pPr>
      <w:r w:rsidRPr="00074961">
        <w:rPr>
          <w:rFonts w:ascii="Arial" w:hAnsi="Arial" w:cs="Arial"/>
          <w:color w:val="000000"/>
          <w:sz w:val="24"/>
          <w:szCs w:val="24"/>
        </w:rPr>
        <w:t xml:space="preserve">Unidad de aprendizaje I. Diseño, intervención y evaluación en el aula: </w:t>
      </w:r>
    </w:p>
    <w:p w:rsidR="00074961" w:rsidRPr="00074961" w:rsidRDefault="00074961" w:rsidP="00074961">
      <w:pPr>
        <w:pStyle w:val="Prrafodelista"/>
        <w:numPr>
          <w:ilvl w:val="0"/>
          <w:numId w:val="2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Detecta los procesos de aprendizaje de sus alumnos para favorecer su desarrollo cognitivo y socioemocional.</w:t>
      </w:r>
    </w:p>
    <w:p w:rsidR="00074961" w:rsidRPr="00074961" w:rsidRDefault="00074961" w:rsidP="00074961">
      <w:pPr>
        <w:pStyle w:val="Prrafodelista"/>
        <w:numPr>
          <w:ilvl w:val="0"/>
          <w:numId w:val="2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Aplica el plan y programas de estudio para alcanzar los propósitos educativos y contribuir al pleno desenvolvimiento de las capacidades de sus alumnos.</w:t>
      </w:r>
    </w:p>
    <w:p w:rsidR="00074961" w:rsidRPr="00074961" w:rsidRDefault="00074961" w:rsidP="00074961">
      <w:pPr>
        <w:pStyle w:val="Prrafodelista"/>
        <w:numPr>
          <w:ilvl w:val="0"/>
          <w:numId w:val="2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:rsidR="00074961" w:rsidRDefault="00074961" w:rsidP="00074961">
      <w:pPr>
        <w:pStyle w:val="Prrafodelista"/>
        <w:numPr>
          <w:ilvl w:val="0"/>
          <w:numId w:val="2"/>
        </w:numPr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Actúa de manera ética ante la diversidad de situaciones que se presentan en la práctica profesional.</w:t>
      </w:r>
    </w:p>
    <w:p w:rsidR="00074961" w:rsidRDefault="00074961" w:rsidP="00074961">
      <w:pPr>
        <w:jc w:val="center"/>
        <w:rPr>
          <w:rFonts w:ascii="Arial" w:hAnsi="Arial" w:cs="Arial"/>
          <w:bCs/>
          <w:iCs/>
          <w:sz w:val="28"/>
          <w:lang w:val="es-ES_tradnl"/>
        </w:rPr>
      </w:pPr>
    </w:p>
    <w:p w:rsidR="001738A0" w:rsidRPr="00074961" w:rsidRDefault="00074961" w:rsidP="00074961">
      <w:pPr>
        <w:jc w:val="right"/>
        <w:rPr>
          <w:rFonts w:ascii="Arial" w:hAnsi="Arial" w:cs="Arial"/>
        </w:rPr>
      </w:pPr>
      <w:r w:rsidRPr="00074961">
        <w:rPr>
          <w:rFonts w:ascii="Arial" w:hAnsi="Arial" w:cs="Arial"/>
        </w:rPr>
        <w:t>Saltillo, Coahuila. 13 de marzo de 2021</w:t>
      </w:r>
    </w:p>
    <w:tbl>
      <w:tblPr>
        <w:tblStyle w:val="Listaclara-nfasis1"/>
        <w:tblW w:w="13603" w:type="dxa"/>
        <w:tblBorders>
          <w:insideH w:val="single" w:sz="8" w:space="0" w:color="4472C4" w:themeColor="accent1"/>
          <w:insideV w:val="single" w:sz="8" w:space="0" w:color="4472C4" w:themeColor="accent1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99"/>
        <w:gridCol w:w="3350"/>
        <w:gridCol w:w="3685"/>
        <w:gridCol w:w="3969"/>
      </w:tblGrid>
      <w:tr w:rsidR="008655FF" w:rsidTr="00A04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:rsidR="000C4CFF" w:rsidRDefault="000C4CFF"/>
        </w:tc>
        <w:tc>
          <w:tcPr>
            <w:tcW w:w="3350" w:type="dxa"/>
          </w:tcPr>
          <w:p w:rsidR="008655FF" w:rsidRDefault="008655FF" w:rsidP="00865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4775">
              <w:rPr>
                <w:color w:val="000000" w:themeColor="text1"/>
              </w:rPr>
              <w:t>Aciertos</w:t>
            </w:r>
          </w:p>
        </w:tc>
        <w:tc>
          <w:tcPr>
            <w:tcW w:w="3685" w:type="dxa"/>
          </w:tcPr>
          <w:p w:rsidR="008655FF" w:rsidRPr="00A04775" w:rsidRDefault="008655FF" w:rsidP="00865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04775">
              <w:rPr>
                <w:color w:val="000000" w:themeColor="text1"/>
              </w:rPr>
              <w:t>Problemas detectados</w:t>
            </w:r>
          </w:p>
        </w:tc>
        <w:tc>
          <w:tcPr>
            <w:tcW w:w="3969" w:type="dxa"/>
          </w:tcPr>
          <w:p w:rsidR="008655FF" w:rsidRPr="00A04775" w:rsidRDefault="008655FF" w:rsidP="00865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04775">
              <w:rPr>
                <w:color w:val="000000" w:themeColor="text1"/>
              </w:rPr>
              <w:t>Áreas de oportunidad</w:t>
            </w:r>
          </w:p>
        </w:tc>
      </w:tr>
      <w:tr w:rsidR="008655FF" w:rsidTr="00A0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:rsidR="008655FF" w:rsidRDefault="008655FF">
            <w:r>
              <w:t>Diseños de los planes y secuencias didácticas</w:t>
            </w:r>
          </w:p>
        </w:tc>
        <w:tc>
          <w:tcPr>
            <w:tcW w:w="3350" w:type="dxa"/>
            <w:tcBorders>
              <w:top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:rsidR="008655FF" w:rsidRDefault="00C86C5C" w:rsidP="00865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Organizarme en tiempos, las actividades y lo que llamaron la atención. 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:rsidR="008655FF" w:rsidRDefault="00C86C5C" w:rsidP="00C86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Materiales y transversalización de diferentes áreas de oportunidad. 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:rsidR="008655FF" w:rsidRDefault="00C86C5C" w:rsidP="00C86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Materiales más grandes y con mayor vista y práctica respecto a las áreas de oportunidad. </w:t>
            </w:r>
          </w:p>
        </w:tc>
      </w:tr>
      <w:tr w:rsidR="008655FF" w:rsidTr="00A0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D9E2F3" w:themeFill="accent1" w:themeFillTint="33"/>
          </w:tcPr>
          <w:p w:rsidR="008655FF" w:rsidRDefault="008655FF">
            <w:r>
              <w:t>Enseñanza y desarrollo de actividades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:rsidR="008655FF" w:rsidRDefault="00C86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Forma de aplicación de secuencia, forma de comunicación con </w:t>
            </w:r>
            <w:r w:rsidR="00AE568C">
              <w:t xml:space="preserve">la alumna y </w:t>
            </w:r>
            <w:r>
              <w:t>evaluación de las actividades</w:t>
            </w:r>
            <w:r w:rsidR="00AE568C">
              <w:t xml:space="preserve">. 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:rsidR="008655FF" w:rsidRDefault="00AE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Tiempos “muertos”, </w:t>
            </w:r>
            <w:r w:rsidR="00785471">
              <w:t xml:space="preserve">distracciones. 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8655FF" w:rsidRDefault="0078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Aplicar pausas activas, que mejoren la atención de la alumna. </w:t>
            </w:r>
          </w:p>
        </w:tc>
      </w:tr>
      <w:tr w:rsidR="008655FF" w:rsidTr="00A0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:rsidR="008655FF" w:rsidRDefault="008655FF">
            <w:r>
              <w:t>Aprendizaje de los alumnos</w:t>
            </w:r>
          </w:p>
        </w:tc>
        <w:tc>
          <w:tcPr>
            <w:tcW w:w="3350" w:type="dxa"/>
            <w:tcBorders>
              <w:top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:rsidR="008655FF" w:rsidRDefault="0078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Logró la comprensión del tema y dejó un aprendizaje significativo en ella.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:rsidR="008655FF" w:rsidRDefault="0078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Focalización de más allá del tema. 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:rsidR="008655FF" w:rsidRDefault="00785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Aplicar actividades distintas que favorezcan temas relacionados. </w:t>
            </w:r>
          </w:p>
        </w:tc>
      </w:tr>
      <w:tr w:rsidR="008655FF" w:rsidTr="00A0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D9E2F3" w:themeFill="accent1" w:themeFillTint="33"/>
          </w:tcPr>
          <w:p w:rsidR="008655FF" w:rsidRDefault="008655FF">
            <w:r>
              <w:t>Estrategias metodológicas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:rsidR="008655FF" w:rsidRDefault="0078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 forma en que llevé a cabo la secuencia, los materiales, y la comunicación con la alumna. 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:rsidR="008655FF" w:rsidRDefault="0078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Ciertos errores dentro de la práctica. 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8655FF" w:rsidRDefault="00785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Ejecutar </w:t>
            </w:r>
            <w:r w:rsidR="00321C98">
              <w:t xml:space="preserve">más veces mi desempeño docente. </w:t>
            </w:r>
          </w:p>
        </w:tc>
      </w:tr>
      <w:tr w:rsidR="008655FF" w:rsidTr="00A0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:rsidR="008655FF" w:rsidRDefault="008655FF">
            <w:r>
              <w:t>Procedimientos de evaluación</w:t>
            </w:r>
          </w:p>
        </w:tc>
        <w:tc>
          <w:tcPr>
            <w:tcW w:w="3350" w:type="dxa"/>
            <w:tcBorders>
              <w:top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:rsidR="008655FF" w:rsidRDefault="00321C98" w:rsidP="0032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Elaboración del instrumento adecuado para poder llevarlo a cabo y la evaluación posterior a la actividad. 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:rsidR="008655FF" w:rsidRDefault="0032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Solamente utilicé o recurrí al mismo instrumento. Siento que fue llevada a cabo, aunque no como me hubiera gustado. 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:rsidR="00321C98" w:rsidRDefault="0032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Aplicar más instrumentos de evaluación, y practicarla más. </w:t>
            </w:r>
          </w:p>
        </w:tc>
      </w:tr>
      <w:tr w:rsidR="008655FF" w:rsidTr="00A04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D9E2F3" w:themeFill="accent1" w:themeFillTint="33"/>
          </w:tcPr>
          <w:p w:rsidR="008655FF" w:rsidRDefault="008655FF">
            <w:r>
              <w:t>Recursos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:rsidR="008655FF" w:rsidRDefault="00321C98" w:rsidP="0032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Fueron adecuados, llamativos y se presentaron de manera que la alumna pudiera comprender lo que se quería dar a entender. 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:rsidR="008655FF" w:rsidRDefault="0032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cierto momento distrajeron a la alumna. 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8655FF" w:rsidRDefault="00321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Utilización de materiales y posterior a su uso, dejarlos en un lugar el cual no distraiga la atención de a quien se esté mostrando. </w:t>
            </w:r>
          </w:p>
        </w:tc>
      </w:tr>
    </w:tbl>
    <w:p w:rsidR="000C4CFF" w:rsidRDefault="000C4CFF" w:rsidP="000C4CFF">
      <w:pPr>
        <w:pStyle w:val="Prrafodelista"/>
        <w:spacing w:after="0"/>
      </w:pPr>
    </w:p>
    <w:p w:rsidR="000C4CFF" w:rsidRDefault="000C4CFF" w:rsidP="000C4CFF">
      <w:pPr>
        <w:pStyle w:val="Prrafodelista"/>
        <w:spacing w:after="0"/>
      </w:pPr>
    </w:p>
    <w:p w:rsidR="001B438F" w:rsidRPr="00A04775" w:rsidRDefault="000C4CFF" w:rsidP="00A04775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L</w:t>
      </w:r>
      <w:r w:rsidR="001B438F" w:rsidRPr="00A04775">
        <w:rPr>
          <w:rFonts w:ascii="Arial" w:hAnsi="Arial" w:cs="Arial"/>
          <w:sz w:val="24"/>
          <w:szCs w:val="24"/>
        </w:rPr>
        <w:t xml:space="preserve">lenar el cuadro de doble entrada según su experiencia </w:t>
      </w:r>
      <w:r w:rsidR="00777048" w:rsidRPr="00A04775">
        <w:rPr>
          <w:rFonts w:ascii="Arial" w:hAnsi="Arial" w:cs="Arial"/>
          <w:sz w:val="24"/>
          <w:szCs w:val="24"/>
        </w:rPr>
        <w:t xml:space="preserve">vivida en </w:t>
      </w:r>
      <w:r w:rsidR="001B438F" w:rsidRPr="00A04775">
        <w:rPr>
          <w:rFonts w:ascii="Arial" w:hAnsi="Arial" w:cs="Arial"/>
          <w:sz w:val="24"/>
          <w:szCs w:val="24"/>
        </w:rPr>
        <w:t>el semestre pasado</w:t>
      </w:r>
    </w:p>
    <w:p w:rsidR="0029295D" w:rsidRDefault="00860768" w:rsidP="00A04775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 xml:space="preserve">Hacer uso de la investigación documental o digital para identificar lo medular </w:t>
      </w:r>
      <w:r w:rsidR="008F18A2" w:rsidRPr="00A04775">
        <w:rPr>
          <w:rFonts w:ascii="Arial" w:hAnsi="Arial" w:cs="Arial"/>
          <w:sz w:val="24"/>
          <w:szCs w:val="24"/>
        </w:rPr>
        <w:t xml:space="preserve">(procesos que se siguen) </w:t>
      </w:r>
      <w:r w:rsidRPr="00A04775">
        <w:rPr>
          <w:rFonts w:ascii="Arial" w:hAnsi="Arial" w:cs="Arial"/>
          <w:sz w:val="24"/>
          <w:szCs w:val="24"/>
        </w:rPr>
        <w:t>d</w:t>
      </w:r>
      <w:r w:rsidR="002A67FD" w:rsidRPr="00A04775">
        <w:rPr>
          <w:rFonts w:ascii="Arial" w:hAnsi="Arial" w:cs="Arial"/>
          <w:sz w:val="24"/>
          <w:szCs w:val="24"/>
        </w:rPr>
        <w:t>e las estrategias metodológicas</w:t>
      </w:r>
    </w:p>
    <w:p w:rsidR="008F07A3" w:rsidRPr="008F07A3" w:rsidRDefault="008F07A3" w:rsidP="008F07A3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2A67FD" w:rsidRPr="002A67FD" w:rsidRDefault="002A67FD" w:rsidP="00A04775">
      <w:pPr>
        <w:spacing w:after="0" w:line="360" w:lineRule="auto"/>
        <w:rPr>
          <w:rFonts w:ascii="Arial" w:hAnsi="Arial" w:cs="Arial"/>
          <w:szCs w:val="24"/>
        </w:rPr>
      </w:pPr>
    </w:p>
    <w:p w:rsidR="007429F7" w:rsidRPr="007429F7" w:rsidRDefault="001B438F" w:rsidP="00A047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29F7">
        <w:rPr>
          <w:rFonts w:ascii="Arial" w:hAnsi="Arial" w:cs="Arial"/>
          <w:b/>
          <w:sz w:val="24"/>
          <w:szCs w:val="24"/>
        </w:rPr>
        <w:lastRenderedPageBreak/>
        <w:t>a</w:t>
      </w:r>
      <w:r w:rsidR="00860768" w:rsidRPr="007429F7">
        <w:rPr>
          <w:rFonts w:ascii="Arial" w:hAnsi="Arial" w:cs="Arial"/>
          <w:b/>
          <w:sz w:val="24"/>
          <w:szCs w:val="24"/>
        </w:rPr>
        <w:t xml:space="preserve">. </w:t>
      </w:r>
      <w:r w:rsidR="007429F7" w:rsidRPr="007429F7">
        <w:rPr>
          <w:rFonts w:ascii="Arial" w:hAnsi="Arial" w:cs="Arial"/>
          <w:b/>
          <w:sz w:val="24"/>
          <w:szCs w:val="24"/>
        </w:rPr>
        <w:t>Proyectos</w:t>
      </w:r>
    </w:p>
    <w:p w:rsidR="00A04775" w:rsidRDefault="00A04775" w:rsidP="00A04775">
      <w:pPr>
        <w:spacing w:after="0" w:line="360" w:lineRule="auto"/>
        <w:rPr>
          <w:rFonts w:ascii="Arial" w:hAnsi="Arial" w:cs="Arial"/>
          <w:sz w:val="24"/>
        </w:rPr>
      </w:pPr>
      <w:r w:rsidRPr="00A04775">
        <w:rPr>
          <w:rFonts w:ascii="Arial" w:hAnsi="Arial" w:cs="Arial"/>
          <w:sz w:val="24"/>
        </w:rPr>
        <w:t xml:space="preserve">El proyecto de aula es un medio o una estrategia para llevar a cabo el aprendizaje de aquello que se ha querido enseñar, pero que no se ha logrado con otros métodos tradicionales. Esta estrategia didáctica despierta el espíritu de colaboración y refuerza la formación en valores en cuanto a la tolerancia, aceptación del otro, autoestima, cooperación, convivencia, escucha y ayuda mutua, incrementando las relaciones interpersonales: alumno – alumno; alumno – maestro; maestro – maestro. Es en esta dimensión en el quehacer del maestro tiende a reestructurarse porque este ya no es quien posee el conocimiento, pero si se lo propone entra a negociar como el líder del equipo. </w:t>
      </w:r>
    </w:p>
    <w:p w:rsidR="00A04775" w:rsidRDefault="00A04775" w:rsidP="00A04775">
      <w:pPr>
        <w:spacing w:after="0" w:line="360" w:lineRule="auto"/>
        <w:rPr>
          <w:rFonts w:ascii="Arial" w:hAnsi="Arial" w:cs="Arial"/>
          <w:sz w:val="24"/>
        </w:rPr>
      </w:pPr>
      <w:r w:rsidRPr="00A04775">
        <w:rPr>
          <w:rFonts w:ascii="Arial" w:hAnsi="Arial" w:cs="Arial"/>
          <w:sz w:val="24"/>
        </w:rPr>
        <w:t>El proyecto de aula se constituye en un pretexto para propiciar el desarrollo de las competencias investigativas en tanto involucra las competencias básicas (argumentativas, interpretativas y propositivas)</w:t>
      </w:r>
    </w:p>
    <w:p w:rsidR="008F07A3" w:rsidRDefault="008F07A3" w:rsidP="00A047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9295D" w:rsidRDefault="001B438F" w:rsidP="00A047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29F7">
        <w:rPr>
          <w:rFonts w:ascii="Arial" w:hAnsi="Arial" w:cs="Arial"/>
          <w:b/>
          <w:sz w:val="24"/>
          <w:szCs w:val="24"/>
        </w:rPr>
        <w:t>b</w:t>
      </w:r>
      <w:r w:rsidR="00860768" w:rsidRPr="007429F7">
        <w:rPr>
          <w:rFonts w:ascii="Arial" w:hAnsi="Arial" w:cs="Arial"/>
          <w:b/>
          <w:sz w:val="24"/>
          <w:szCs w:val="24"/>
        </w:rPr>
        <w:t xml:space="preserve">. </w:t>
      </w:r>
      <w:r w:rsidR="0029295D" w:rsidRPr="007429F7">
        <w:rPr>
          <w:rFonts w:ascii="Arial" w:hAnsi="Arial" w:cs="Arial"/>
          <w:b/>
          <w:sz w:val="24"/>
          <w:szCs w:val="24"/>
        </w:rPr>
        <w:t>Resolución de problemas</w:t>
      </w:r>
    </w:p>
    <w:p w:rsidR="002A67FD" w:rsidRDefault="00A04775" w:rsidP="00A0477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4775">
        <w:rPr>
          <w:rFonts w:ascii="Arial" w:hAnsi="Arial" w:cs="Arial"/>
          <w:color w:val="000000"/>
          <w:sz w:val="24"/>
          <w:szCs w:val="24"/>
        </w:rPr>
        <w:t>El Aprendizaje Basado en la Resolución de Problemas (ABP) es una metodología que utilizan los centro</w:t>
      </w:r>
      <w:r>
        <w:rPr>
          <w:rFonts w:ascii="Arial" w:hAnsi="Arial" w:cs="Arial"/>
          <w:color w:val="000000"/>
          <w:sz w:val="24"/>
          <w:szCs w:val="24"/>
        </w:rPr>
        <w:t xml:space="preserve">s educativos </w:t>
      </w:r>
      <w:r w:rsidRPr="00A04775">
        <w:rPr>
          <w:rFonts w:ascii="Arial" w:hAnsi="Arial" w:cs="Arial"/>
          <w:color w:val="000000"/>
          <w:sz w:val="24"/>
          <w:szCs w:val="24"/>
        </w:rPr>
        <w:t>que dan un giro al clásico proc</w:t>
      </w:r>
      <w:r>
        <w:rPr>
          <w:rFonts w:ascii="Arial" w:hAnsi="Arial" w:cs="Arial"/>
          <w:color w:val="000000"/>
          <w:sz w:val="24"/>
          <w:szCs w:val="24"/>
        </w:rPr>
        <w:t xml:space="preserve">eso de aprendizaje de las aulas. </w:t>
      </w:r>
      <w:r w:rsidR="002A67FD" w:rsidRPr="002A67FD">
        <w:rPr>
          <w:rFonts w:ascii="Arial" w:hAnsi="Arial" w:cs="Arial"/>
          <w:color w:val="000000"/>
          <w:sz w:val="24"/>
          <w:szCs w:val="24"/>
        </w:rPr>
        <w:t>Las estrategias de resolución de problemas son, más que reglas, técnicas generales que nos ayudan a comprender el problema y favorecen el éxito en encontrar la solución.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04775">
        <w:rPr>
          <w:rFonts w:ascii="Arial" w:hAnsi="Arial" w:cs="Arial"/>
          <w:color w:val="000000"/>
          <w:sz w:val="24"/>
          <w:szCs w:val="24"/>
        </w:rPr>
        <w:t>con</w:t>
      </w:r>
      <w:proofErr w:type="gramEnd"/>
      <w:r w:rsidRPr="00A04775">
        <w:rPr>
          <w:rFonts w:ascii="Arial" w:hAnsi="Arial" w:cs="Arial"/>
          <w:color w:val="000000"/>
          <w:sz w:val="24"/>
          <w:szCs w:val="24"/>
        </w:rPr>
        <w:t xml:space="preserve"> ella se plantea a </w:t>
      </w:r>
      <w:r>
        <w:rPr>
          <w:rFonts w:ascii="Arial" w:hAnsi="Arial" w:cs="Arial"/>
          <w:color w:val="000000"/>
          <w:sz w:val="24"/>
          <w:szCs w:val="24"/>
        </w:rPr>
        <w:t xml:space="preserve">los escolares un problema o una </w:t>
      </w:r>
      <w:r w:rsidRPr="00A04775">
        <w:rPr>
          <w:rFonts w:ascii="Arial" w:hAnsi="Arial" w:cs="Arial"/>
          <w:color w:val="000000"/>
          <w:sz w:val="24"/>
          <w:szCs w:val="24"/>
        </w:rPr>
        <w:t>situación que debe resolverse, y para ello necesitan recabar la mayor cantidad de info</w:t>
      </w:r>
      <w:r>
        <w:rPr>
          <w:rFonts w:ascii="Arial" w:hAnsi="Arial" w:cs="Arial"/>
          <w:color w:val="000000"/>
          <w:sz w:val="24"/>
          <w:szCs w:val="24"/>
        </w:rPr>
        <w:t>rmación posible para dar con la respuesta correcta. Esta estrategia está conformada por diversos pasos, los cuales sirven para poder comprender su forma de trabajo.</w:t>
      </w:r>
    </w:p>
    <w:p w:rsidR="00A04775" w:rsidRDefault="00A04775" w:rsidP="00A0477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Planificación:</w:t>
      </w:r>
    </w:p>
    <w:p w:rsid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Definir los objetivos y las competencias que deben adquirir los alumnos, elegir el problema de la vida real en el que basarse para llevarlo a cabo y establecer el tiempo de entrega y los criterios de evaluación.</w:t>
      </w:r>
    </w:p>
    <w:p w:rsidR="008F07A3" w:rsidRPr="00A04775" w:rsidRDefault="008F07A3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4775" w:rsidRPr="00A04775" w:rsidRDefault="00A04775" w:rsidP="00A0477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lastRenderedPageBreak/>
        <w:t>Organización de los grupos</w:t>
      </w:r>
    </w:p>
    <w:p w:rsidR="00A04775" w:rsidRP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El siguiente paso consiste en dividir a los alumnos en equipos de 5 a 8 personas, asi</w:t>
      </w:r>
      <w:r>
        <w:rPr>
          <w:rFonts w:ascii="Arial" w:hAnsi="Arial" w:cs="Arial"/>
          <w:sz w:val="24"/>
          <w:szCs w:val="24"/>
        </w:rPr>
        <w:t xml:space="preserve">gnando los papeles de moderador </w:t>
      </w:r>
      <w:r w:rsidRPr="00A04775">
        <w:rPr>
          <w:rFonts w:ascii="Arial" w:hAnsi="Arial" w:cs="Arial"/>
          <w:sz w:val="24"/>
          <w:szCs w:val="24"/>
        </w:rPr>
        <w:t>y secretario a dos de los integrantes del grupo.</w:t>
      </w:r>
    </w:p>
    <w:p w:rsidR="00A04775" w:rsidRPr="00A04775" w:rsidRDefault="00A04775" w:rsidP="00A0477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Presentación del problema y aclaración de términos</w:t>
      </w:r>
    </w:p>
    <w:p w:rsidR="00A04775" w:rsidRP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 xml:space="preserve">El docente plantea el problema a los alumnos y resuelve cualquier duda que puedan </w:t>
      </w:r>
      <w:r>
        <w:rPr>
          <w:rFonts w:ascii="Arial" w:hAnsi="Arial" w:cs="Arial"/>
          <w:sz w:val="24"/>
          <w:szCs w:val="24"/>
        </w:rPr>
        <w:t xml:space="preserve">tener. Además, les indica el </w:t>
      </w:r>
      <w:r w:rsidRPr="00A04775">
        <w:rPr>
          <w:rFonts w:ascii="Arial" w:hAnsi="Arial" w:cs="Arial"/>
          <w:sz w:val="24"/>
          <w:szCs w:val="24"/>
        </w:rPr>
        <w:t>tiempo de entrega y los criterios de evaluación.</w:t>
      </w:r>
    </w:p>
    <w:p w:rsidR="00A04775" w:rsidRPr="00A04775" w:rsidRDefault="00A04775" w:rsidP="00A0477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Definición del problema</w:t>
      </w:r>
    </w:p>
    <w:p w:rsidR="00A04775" w:rsidRP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Los equipos dialogan para identificar el problema, mientras el profesor adquiere el rol de tutor o guía.</w:t>
      </w:r>
    </w:p>
    <w:p w:rsidR="00A04775" w:rsidRPr="00A04775" w:rsidRDefault="00A04775" w:rsidP="00A0477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Lluvia de ideas</w:t>
      </w:r>
    </w:p>
    <w:p w:rsidR="00A04775" w:rsidRP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Cada alumno expone sus conocimientos sobre el caso, anotando y respetando to</w:t>
      </w:r>
      <w:r>
        <w:rPr>
          <w:rFonts w:ascii="Arial" w:hAnsi="Arial" w:cs="Arial"/>
          <w:sz w:val="24"/>
          <w:szCs w:val="24"/>
        </w:rPr>
        <w:t xml:space="preserve">das las ideas para su posterior evaluación. </w:t>
      </w:r>
    </w:p>
    <w:p w:rsidR="00A04775" w:rsidRPr="00A04775" w:rsidRDefault="00A04775" w:rsidP="00A0477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Planteamiento de respuestas e hipótesis</w:t>
      </w:r>
    </w:p>
    <w:p w:rsid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 xml:space="preserve">Una vez estructurado el problema, los estudiantes deben exponer los conocimientos </w:t>
      </w:r>
      <w:r>
        <w:rPr>
          <w:rFonts w:ascii="Arial" w:hAnsi="Arial" w:cs="Arial"/>
          <w:sz w:val="24"/>
          <w:szCs w:val="24"/>
        </w:rPr>
        <w:t xml:space="preserve">adquiridos en clase, relacionar </w:t>
      </w:r>
      <w:r w:rsidRPr="00A04775">
        <w:rPr>
          <w:rFonts w:ascii="Arial" w:hAnsi="Arial" w:cs="Arial"/>
          <w:sz w:val="24"/>
          <w:szCs w:val="24"/>
        </w:rPr>
        <w:t>ideas y plantear posibles respuestas, dando su opinión de forma ordenada. En este pu</w:t>
      </w:r>
      <w:r>
        <w:rPr>
          <w:rFonts w:ascii="Arial" w:hAnsi="Arial" w:cs="Arial"/>
          <w:sz w:val="24"/>
          <w:szCs w:val="24"/>
        </w:rPr>
        <w:t xml:space="preserve">nto, el docente debe cuestionar </w:t>
      </w:r>
      <w:r w:rsidRPr="00A04775">
        <w:rPr>
          <w:rFonts w:ascii="Arial" w:hAnsi="Arial" w:cs="Arial"/>
          <w:sz w:val="24"/>
          <w:szCs w:val="24"/>
        </w:rPr>
        <w:t>las propuestas para que sus alumnos puedan descartar las hipótesis fallidas.</w:t>
      </w:r>
    </w:p>
    <w:p w:rsidR="00A04775" w:rsidRPr="00A04775" w:rsidRDefault="00A04775" w:rsidP="00A0477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Formulación de los objetivos de aprendizaje</w:t>
      </w:r>
    </w:p>
    <w:p w:rsid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Durante este diálogo irán surgiendo conceptos y dilemas que los alumnos serán in</w:t>
      </w:r>
      <w:r>
        <w:rPr>
          <w:rFonts w:ascii="Arial" w:hAnsi="Arial" w:cs="Arial"/>
          <w:sz w:val="24"/>
          <w:szCs w:val="24"/>
        </w:rPr>
        <w:t xml:space="preserve">capaces de resolver. Es en este </w:t>
      </w:r>
      <w:r w:rsidRPr="00A04775">
        <w:rPr>
          <w:rFonts w:ascii="Arial" w:hAnsi="Arial" w:cs="Arial"/>
          <w:sz w:val="24"/>
          <w:szCs w:val="24"/>
        </w:rPr>
        <w:t>momento cuando deben formularse los objetivos de aprendizaje y definir las estrategias</w:t>
      </w:r>
      <w:r>
        <w:rPr>
          <w:rFonts w:ascii="Arial" w:hAnsi="Arial" w:cs="Arial"/>
          <w:sz w:val="24"/>
          <w:szCs w:val="24"/>
        </w:rPr>
        <w:t xml:space="preserve">. El profesor, en todo momento, </w:t>
      </w:r>
      <w:r w:rsidRPr="00A04775">
        <w:rPr>
          <w:rFonts w:ascii="Arial" w:hAnsi="Arial" w:cs="Arial"/>
          <w:sz w:val="24"/>
          <w:szCs w:val="24"/>
        </w:rPr>
        <w:t>debe mantener su papel de guía y animarles a ser creativos.</w:t>
      </w:r>
    </w:p>
    <w:p w:rsidR="008F07A3" w:rsidRDefault="008F07A3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07A3" w:rsidRDefault="008F07A3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4775" w:rsidRPr="00A04775" w:rsidRDefault="00A04775" w:rsidP="00A0477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lastRenderedPageBreak/>
        <w:t>Investigación</w:t>
      </w:r>
    </w:p>
    <w:p w:rsidR="00A04775" w:rsidRP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A través de libros, revistas, diarios, páginas de Internet, entrevistas a expertos, e</w:t>
      </w:r>
      <w:r>
        <w:rPr>
          <w:rFonts w:ascii="Arial" w:hAnsi="Arial" w:cs="Arial"/>
          <w:sz w:val="24"/>
          <w:szCs w:val="24"/>
        </w:rPr>
        <w:t xml:space="preserve">xperimentos o la realización de </w:t>
      </w:r>
      <w:r w:rsidRPr="00A04775">
        <w:rPr>
          <w:rFonts w:ascii="Arial" w:hAnsi="Arial" w:cs="Arial"/>
          <w:sz w:val="24"/>
          <w:szCs w:val="24"/>
        </w:rPr>
        <w:t>estudios de campo y maquetas, los alumnos adquirirán los datos y conocimientos necesarios para afrontar el problema.</w:t>
      </w:r>
    </w:p>
    <w:p w:rsidR="00A04775" w:rsidRPr="00A04775" w:rsidRDefault="00A04775" w:rsidP="00A0477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Síntesis y presentación</w:t>
      </w:r>
    </w:p>
    <w:p w:rsidR="00A04775" w:rsidRP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Ponen en común la información recopilada, la sintetizan y desarrollan una respuest</w:t>
      </w:r>
      <w:r>
        <w:rPr>
          <w:rFonts w:ascii="Arial" w:hAnsi="Arial" w:cs="Arial"/>
          <w:sz w:val="24"/>
          <w:szCs w:val="24"/>
        </w:rPr>
        <w:t xml:space="preserve">a al problema en el formato que </w:t>
      </w:r>
      <w:r w:rsidRPr="00A04775">
        <w:rPr>
          <w:rFonts w:ascii="Arial" w:hAnsi="Arial" w:cs="Arial"/>
          <w:sz w:val="24"/>
          <w:szCs w:val="24"/>
        </w:rPr>
        <w:t xml:space="preserve">consideren más adecuado. Después, se presenta la </w:t>
      </w:r>
      <w:r>
        <w:rPr>
          <w:rFonts w:ascii="Arial" w:hAnsi="Arial" w:cs="Arial"/>
          <w:sz w:val="24"/>
          <w:szCs w:val="24"/>
        </w:rPr>
        <w:t>solución}</w:t>
      </w:r>
      <w:r w:rsidRPr="00A04775">
        <w:rPr>
          <w:rFonts w:ascii="Arial" w:hAnsi="Arial" w:cs="Arial"/>
          <w:sz w:val="24"/>
          <w:szCs w:val="24"/>
        </w:rPr>
        <w:t>n ante el resto de la clase.</w:t>
      </w:r>
    </w:p>
    <w:p w:rsidR="00A04775" w:rsidRPr="00A04775" w:rsidRDefault="00A04775" w:rsidP="00A0477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Evaluación y autoevaluación</w:t>
      </w:r>
    </w:p>
    <w:p w:rsidR="002A67FD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4775">
        <w:rPr>
          <w:rFonts w:ascii="Arial" w:hAnsi="Arial" w:cs="Arial"/>
          <w:sz w:val="24"/>
          <w:szCs w:val="24"/>
        </w:rPr>
        <w:t>El docente evaluará el trabajo de los alumnos y les animará a evaluarse tanto a ello</w:t>
      </w:r>
      <w:r>
        <w:rPr>
          <w:rFonts w:ascii="Arial" w:hAnsi="Arial" w:cs="Arial"/>
          <w:sz w:val="24"/>
          <w:szCs w:val="24"/>
        </w:rPr>
        <w:t xml:space="preserve">s mismos como a sus compañeros, </w:t>
      </w:r>
      <w:r w:rsidRPr="00A04775">
        <w:rPr>
          <w:rFonts w:ascii="Arial" w:hAnsi="Arial" w:cs="Arial"/>
          <w:sz w:val="24"/>
          <w:szCs w:val="24"/>
        </w:rPr>
        <w:t>lo que les ayudará a desarrollar un espíritu de autocrítica.</w:t>
      </w:r>
    </w:p>
    <w:p w:rsid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07A3" w:rsidRDefault="008F07A3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07A3" w:rsidRDefault="008F07A3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07A3" w:rsidRDefault="008F07A3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07A3" w:rsidRDefault="008F07A3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07A3" w:rsidRDefault="008F07A3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73C1" w:rsidRDefault="002F73C1" w:rsidP="00A0477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4775" w:rsidRDefault="00A04775" w:rsidP="00A0477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4775" w:rsidRPr="002A67FD" w:rsidRDefault="00A04775" w:rsidP="00A04775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A67FD" w:rsidRPr="00A04775">
        <w:rPr>
          <w:rFonts w:ascii="Arial" w:hAnsi="Arial" w:cs="Arial"/>
          <w:sz w:val="24"/>
          <w:szCs w:val="24"/>
        </w:rPr>
        <w:t xml:space="preserve">bservación: </w:t>
      </w:r>
      <w:r w:rsidR="005F3850" w:rsidRPr="00A04775">
        <w:rPr>
          <w:rFonts w:ascii="Arial" w:hAnsi="Arial" w:cs="Arial"/>
          <w:sz w:val="24"/>
          <w:szCs w:val="24"/>
        </w:rPr>
        <w:t>El cuadro equivale a 5 puntos y la investigación 5 puntos dando una total de 10</w:t>
      </w:r>
      <w:r w:rsidR="001264E0" w:rsidRPr="00A04775">
        <w:rPr>
          <w:rFonts w:ascii="Arial" w:hAnsi="Arial" w:cs="Arial"/>
          <w:sz w:val="24"/>
          <w:szCs w:val="24"/>
        </w:rPr>
        <w:t xml:space="preserve"> puntos en la actividad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A04775" w:rsidRPr="002A67FD" w:rsidSect="000340B5">
      <w:pgSz w:w="15840" w:h="12240" w:orient="landscape"/>
      <w:pgMar w:top="1701" w:right="1417" w:bottom="1701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86C"/>
    <w:multiLevelType w:val="hybridMultilevel"/>
    <w:tmpl w:val="2D3476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7301E"/>
    <w:multiLevelType w:val="hybridMultilevel"/>
    <w:tmpl w:val="32B6BD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C125F"/>
    <w:multiLevelType w:val="hybridMultilevel"/>
    <w:tmpl w:val="087CEB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11532"/>
    <w:multiLevelType w:val="hybridMultilevel"/>
    <w:tmpl w:val="82CA2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FF"/>
    <w:rsid w:val="000340B5"/>
    <w:rsid w:val="00074961"/>
    <w:rsid w:val="000C4CFF"/>
    <w:rsid w:val="001264E0"/>
    <w:rsid w:val="001B438F"/>
    <w:rsid w:val="001F2F62"/>
    <w:rsid w:val="0029295D"/>
    <w:rsid w:val="002A67FD"/>
    <w:rsid w:val="002F73C1"/>
    <w:rsid w:val="00321C98"/>
    <w:rsid w:val="004B2DE3"/>
    <w:rsid w:val="005F3850"/>
    <w:rsid w:val="007429F7"/>
    <w:rsid w:val="00753C81"/>
    <w:rsid w:val="00777048"/>
    <w:rsid w:val="00785471"/>
    <w:rsid w:val="00860768"/>
    <w:rsid w:val="008655FF"/>
    <w:rsid w:val="008F07A3"/>
    <w:rsid w:val="008F18A2"/>
    <w:rsid w:val="00A04775"/>
    <w:rsid w:val="00AE568C"/>
    <w:rsid w:val="00C86C5C"/>
    <w:rsid w:val="00F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F12D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F12D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yuvic</cp:lastModifiedBy>
  <cp:revision>8</cp:revision>
  <dcterms:created xsi:type="dcterms:W3CDTF">2021-03-14T03:36:00Z</dcterms:created>
  <dcterms:modified xsi:type="dcterms:W3CDTF">2021-03-15T03:14:00Z</dcterms:modified>
</cp:coreProperties>
</file>