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1F1A" w14:textId="7D72F63B" w:rsidR="000A1E20" w:rsidRDefault="000A1E20" w:rsidP="000A1E20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8DC0F" wp14:editId="673AE5F2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</w:t>
      </w:r>
      <w:r w:rsidR="003F669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="003A650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</w:t>
      </w:r>
    </w:p>
    <w:p w14:paraId="5D020847" w14:textId="164DE93E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</w:t>
      </w:r>
      <w:r w:rsidR="003A6500">
        <w:rPr>
          <w:rFonts w:ascii="Arial" w:hAnsi="Arial" w:cs="Arial"/>
          <w:sz w:val="24"/>
          <w:szCs w:val="20"/>
        </w:rPr>
        <w:t xml:space="preserve">                 </w:t>
      </w:r>
      <w:r>
        <w:rPr>
          <w:rFonts w:ascii="Arial" w:hAnsi="Arial" w:cs="Arial"/>
          <w:sz w:val="24"/>
          <w:szCs w:val="20"/>
        </w:rPr>
        <w:t xml:space="preserve">          </w:t>
      </w:r>
      <w:r w:rsidR="003F6694">
        <w:rPr>
          <w:rFonts w:ascii="Arial" w:hAnsi="Arial" w:cs="Arial"/>
          <w:sz w:val="24"/>
          <w:szCs w:val="20"/>
        </w:rPr>
        <w:t xml:space="preserve"> 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320471D9" w14:textId="0112B64D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 </w:t>
      </w:r>
      <w:r w:rsidR="0041095E">
        <w:rPr>
          <w:rFonts w:ascii="Arial" w:hAnsi="Arial" w:cs="Arial"/>
          <w:sz w:val="24"/>
          <w:szCs w:val="20"/>
        </w:rPr>
        <w:t xml:space="preserve"> </w:t>
      </w:r>
    </w:p>
    <w:p w14:paraId="6F905471" w14:textId="51373C82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Bases legales y normativas de la educación básica                </w:t>
      </w:r>
    </w:p>
    <w:p w14:paraId="0F045F40" w14:textId="0078164B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Arturo Flores Rodríguez  </w:t>
      </w:r>
    </w:p>
    <w:p w14:paraId="35C6D8D1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2878971B" w14:textId="23B3EA42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La educación como derecho: Principios filosóficos, legales, normativos y éticos </w:t>
      </w:r>
    </w:p>
    <w:p w14:paraId="6434EE3E" w14:textId="14A6A10E" w:rsidR="000A1E20" w:rsidRPr="000A1E20" w:rsidRDefault="000A1E20" w:rsidP="000A1E20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</w:t>
      </w:r>
    </w:p>
    <w:p w14:paraId="5DA49C29" w14:textId="577D3FF8" w:rsidR="000A1E20" w:rsidRDefault="000A1E20" w:rsidP="000A1E2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FCD7DE7" w14:textId="77777777" w:rsidR="000A1E20" w:rsidRPr="000A1E20" w:rsidRDefault="000A1E20" w:rsidP="000A1E2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</w:t>
      </w:r>
    </w:p>
    <w:p w14:paraId="7B0BFB89" w14:textId="2963C52F" w:rsidR="000A1E20" w:rsidRDefault="000A1E20" w:rsidP="000A1E20">
      <w:pPr>
        <w:pStyle w:val="Prrafodelista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 profesional.</w:t>
      </w:r>
    </w:p>
    <w:p w14:paraId="0F07B05B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35055645" w14:textId="4B6FE4F2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Actividad 1. </w:t>
      </w:r>
    </w:p>
    <w:p w14:paraId="28CB6C49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1F05F07B" w14:textId="77777777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</w:t>
      </w:r>
    </w:p>
    <w:p w14:paraId="41E76EDB" w14:textId="77777777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6694AF08" w14:textId="77777777" w:rsidR="000A1E20" w:rsidRDefault="000A1E20" w:rsidP="000A1E20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8FB10BF" w14:textId="29E47817" w:rsidR="000A1E20" w:rsidRDefault="000A1E20">
      <w:pPr>
        <w:rPr>
          <w:rFonts w:ascii="Arial" w:hAnsi="Arial" w:cs="Arial"/>
          <w:sz w:val="24"/>
          <w:szCs w:val="20"/>
        </w:rPr>
        <w:sectPr w:rsidR="000A1E20" w:rsidSect="000A1E20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Marzo del 202</w:t>
      </w:r>
      <w:r w:rsidR="00135FFF">
        <w:rPr>
          <w:rFonts w:ascii="Arial" w:hAnsi="Arial" w:cs="Arial"/>
          <w:sz w:val="24"/>
          <w:szCs w:val="20"/>
        </w:rPr>
        <w:t>1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969"/>
        <w:gridCol w:w="3544"/>
        <w:gridCol w:w="4252"/>
      </w:tblGrid>
      <w:tr w:rsidR="000A1E20" w14:paraId="6C666CE9" w14:textId="77777777" w:rsidTr="00BC58E2">
        <w:trPr>
          <w:trHeight w:val="543"/>
        </w:trPr>
        <w:tc>
          <w:tcPr>
            <w:tcW w:w="2410" w:type="dxa"/>
            <w:vMerge w:val="restart"/>
          </w:tcPr>
          <w:p w14:paraId="42210D65" w14:textId="7496F005" w:rsidR="000A1E20" w:rsidRDefault="00135FFF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</w:t>
            </w:r>
            <w:r w:rsidR="000A1E20" w:rsidRPr="000A1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eformas educativas </w:t>
            </w:r>
          </w:p>
          <w:p w14:paraId="3C8BC561" w14:textId="23B71804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Artículo 3° constitucional</w:t>
            </w:r>
          </w:p>
        </w:tc>
        <w:tc>
          <w:tcPr>
            <w:tcW w:w="11765" w:type="dxa"/>
            <w:gridSpan w:val="3"/>
          </w:tcPr>
          <w:p w14:paraId="6074657E" w14:textId="5E1091DC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CONTENIDO</w:t>
            </w:r>
            <w:r w:rsidR="00BC58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1E20" w14:paraId="1881BFA5" w14:textId="77777777" w:rsidTr="00BC58E2">
        <w:trPr>
          <w:trHeight w:val="543"/>
        </w:trPr>
        <w:tc>
          <w:tcPr>
            <w:tcW w:w="2410" w:type="dxa"/>
            <w:vMerge/>
          </w:tcPr>
          <w:p w14:paraId="78D8D5EE" w14:textId="77777777" w:rsidR="000A1E20" w:rsidRPr="000A1E20" w:rsidRDefault="000A1E20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4F026CC6" w14:textId="2C10DD67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al artículo (en la redacción)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2B13CC43" w14:textId="27A4C7B0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319411F5" w14:textId="5134150E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¿Cuáles son sus principales aportes y en qué argumentos se sustentan?</w:t>
            </w:r>
          </w:p>
        </w:tc>
      </w:tr>
      <w:tr w:rsidR="000A1E20" w14:paraId="5B6D47AA" w14:textId="77777777" w:rsidTr="00BC58E2">
        <w:trPr>
          <w:trHeight w:val="543"/>
        </w:trPr>
        <w:tc>
          <w:tcPr>
            <w:tcW w:w="2410" w:type="dxa"/>
          </w:tcPr>
          <w:p w14:paraId="0793C9CD" w14:textId="42C2B9A2" w:rsidR="000A1E20" w:rsidRPr="000A1E20" w:rsidRDefault="008616B3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1857</w:t>
            </w:r>
          </w:p>
        </w:tc>
        <w:tc>
          <w:tcPr>
            <w:tcW w:w="3969" w:type="dxa"/>
            <w:shd w:val="clear" w:color="auto" w:fill="FFFFFF" w:themeFill="background1"/>
          </w:tcPr>
          <w:p w14:paraId="4BB16ABB" w14:textId="2F525874" w:rsidR="008616B3" w:rsidRPr="000A1E20" w:rsidRDefault="000A1E20" w:rsidP="000A1E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E20">
              <w:rPr>
                <w:rFonts w:ascii="Arial" w:hAnsi="Arial" w:cs="Arial"/>
                <w:sz w:val="24"/>
                <w:szCs w:val="24"/>
              </w:rPr>
              <w:t>ART.</w:t>
            </w:r>
            <w:r>
              <w:rPr>
                <w:rFonts w:ascii="Arial" w:hAnsi="Arial" w:cs="Arial"/>
                <w:sz w:val="24"/>
                <w:szCs w:val="24"/>
              </w:rPr>
              <w:t xml:space="preserve"> 3°</w:t>
            </w:r>
            <w:r w:rsidRPr="000A1E20">
              <w:rPr>
                <w:rFonts w:ascii="Arial" w:hAnsi="Arial" w:cs="Arial"/>
                <w:sz w:val="24"/>
                <w:szCs w:val="24"/>
              </w:rPr>
              <w:t xml:space="preserve"> La enseñanza es libre. La ley determinará qué profesiones necesitan título para su ejercicio, y con qué requisitos se deben espedir</w:t>
            </w:r>
            <w:r w:rsidR="008616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5BE1D91" w14:textId="77777777" w:rsidR="000A1E20" w:rsidRDefault="00135FFF" w:rsidP="00135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enseñanza es libre </w:t>
            </w:r>
          </w:p>
          <w:p w14:paraId="465D4611" w14:textId="77777777" w:rsidR="00CD7DF0" w:rsidRDefault="00CD7DF0" w:rsidP="00135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-Laicidad de la educación primaria</w:t>
            </w:r>
          </w:p>
          <w:p w14:paraId="705856AE" w14:textId="74413779" w:rsidR="00CD7DF0" w:rsidRPr="00135FFF" w:rsidRDefault="00CD7DF0" w:rsidP="00000E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0E3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000E35" w:rsidRPr="00000E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exclusión de corporaciones y ministros religiosos y la vigilancia estatal sobre la educación privada.</w:t>
            </w:r>
            <w:r w:rsidR="00000E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41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0C819AB8" w14:textId="77777777" w:rsidR="00BC58E2" w:rsidRDefault="008C4178" w:rsidP="00243C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178">
              <w:rPr>
                <w:rFonts w:ascii="Arial" w:hAnsi="Arial" w:cs="Arial"/>
                <w:sz w:val="24"/>
                <w:szCs w:val="24"/>
              </w:rPr>
              <w:t xml:space="preserve">Ninguna corporación religiosa ni ministro de ningún culto podrán establecer o dirigir escuelas de instrucción primaria. </w:t>
            </w:r>
          </w:p>
          <w:p w14:paraId="08024DBF" w14:textId="1A716D7A" w:rsidR="000A1E20" w:rsidRPr="008C4178" w:rsidRDefault="008C4178" w:rsidP="00243C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178">
              <w:rPr>
                <w:rFonts w:ascii="Arial" w:hAnsi="Arial" w:cs="Arial"/>
                <w:sz w:val="24"/>
                <w:szCs w:val="24"/>
              </w:rPr>
              <w:t>Las escuelas primarias particulares sólo podrán establecerse sujetándose a la vigilancia oficial. En los establecimientos oficiales se impartirá gratuitamente la enseñanza primaria.</w:t>
            </w:r>
          </w:p>
        </w:tc>
      </w:tr>
      <w:tr w:rsidR="008616B3" w14:paraId="72CF8900" w14:textId="77777777" w:rsidTr="00BC58E2">
        <w:trPr>
          <w:trHeight w:val="543"/>
        </w:trPr>
        <w:tc>
          <w:tcPr>
            <w:tcW w:w="2410" w:type="dxa"/>
          </w:tcPr>
          <w:p w14:paraId="7D6CB822" w14:textId="4205DF5F" w:rsidR="008616B3" w:rsidRDefault="008616B3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1917 </w:t>
            </w:r>
          </w:p>
        </w:tc>
        <w:tc>
          <w:tcPr>
            <w:tcW w:w="3969" w:type="dxa"/>
            <w:shd w:val="clear" w:color="auto" w:fill="FFFFFF" w:themeFill="background1"/>
          </w:tcPr>
          <w:p w14:paraId="4EE0D92D" w14:textId="53286B3B" w:rsidR="008616B3" w:rsidRPr="008616B3" w:rsidRDefault="008616B3" w:rsidP="000A1E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6B3">
              <w:rPr>
                <w:rFonts w:ascii="Arial" w:hAnsi="Arial" w:cs="Arial"/>
                <w:sz w:val="24"/>
                <w:szCs w:val="24"/>
              </w:rPr>
              <w:t>AR</w:t>
            </w:r>
            <w:r w:rsidR="00BC58E2">
              <w:rPr>
                <w:rFonts w:ascii="Arial" w:hAnsi="Arial" w:cs="Arial"/>
                <w:sz w:val="24"/>
                <w:szCs w:val="24"/>
              </w:rPr>
              <w:t>T.</w:t>
            </w:r>
            <w:r>
              <w:rPr>
                <w:rFonts w:ascii="Arial" w:hAnsi="Arial" w:cs="Arial"/>
                <w:sz w:val="24"/>
                <w:szCs w:val="24"/>
              </w:rPr>
              <w:t xml:space="preserve"> 3°</w:t>
            </w:r>
            <w:r w:rsidRPr="008616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FFF" w:rsidRPr="00135FFF">
              <w:rPr>
                <w:rFonts w:ascii="Arial" w:hAnsi="Arial" w:cs="Arial"/>
                <w:sz w:val="24"/>
                <w:szCs w:val="24"/>
              </w:rPr>
              <w:t>La enseñanza es libre; pero será laica la que se dé en los establecimientos oficiales de educación, lo mismo que la enseñanza primaria, elemental y superior que se imparta en los establecimientos particulares</w:t>
            </w:r>
            <w:r w:rsidR="00135FFF">
              <w:rPr>
                <w:rFonts w:ascii="Arial" w:hAnsi="Arial" w:cs="Arial"/>
                <w:sz w:val="24"/>
                <w:szCs w:val="24"/>
              </w:rPr>
              <w:t>.</w:t>
            </w:r>
            <w:r w:rsidR="00BC58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BA2CC7B" w14:textId="1DF8E441" w:rsidR="008616B3" w:rsidRDefault="008616B3" w:rsidP="00861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-Libertad de enseñanza</w:t>
            </w:r>
          </w:p>
          <w:p w14:paraId="22F871AF" w14:textId="0A21AE67" w:rsidR="008616B3" w:rsidRPr="008616B3" w:rsidRDefault="008616B3" w:rsidP="00861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-Gratuidad de la enseñanza primaria elemental y superior en los establecimientos oficiales. </w:t>
            </w:r>
            <w:r w:rsidR="00FA3407">
              <w:rPr>
                <w:rFonts w:ascii="Arial" w:hAnsi="Arial" w:cs="Arial"/>
                <w:sz w:val="24"/>
                <w:szCs w:val="24"/>
              </w:rPr>
              <w:t>N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t>orma el derecho a la educación, especialmente la educación pública gratuita y la educación primaria obligatoria; el acceso a la educación pública, laica y gratuita constituyó junto con las conquistas agrarias y laborales, una de las mayores</w:t>
            </w:r>
            <w:r w:rsidR="00FA3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t xml:space="preserve">esperanzas populares y conquistas de derechos sociales, así como 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lastRenderedPageBreak/>
              <w:t>aspiraciones de movilidad social para las grandes masas, no sólo en México sino en todo el mundo.</w:t>
            </w:r>
            <w:r w:rsidRPr="00FA340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6554CCA7" w14:textId="77777777" w:rsidR="00135FFF" w:rsidRDefault="00135FFF" w:rsidP="0013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lastRenderedPageBreak/>
              <w:t xml:space="preserve">En esta redacción se suprime la prohibición relativa a la impartición de la enseñanza por miembros del clero, lo cual permitió llegar a cierto acuerdo y a proceder a la votación. </w:t>
            </w:r>
          </w:p>
          <w:p w14:paraId="42E2296C" w14:textId="77777777" w:rsidR="00135FFF" w:rsidRDefault="00135FFF" w:rsidP="0013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t xml:space="preserve">Se elimina también la mención a la obligatoriedad de asistir a la escuela, dejando su establecimiento para el artículo 31. Sin embargo, en el artículo 27 se reforzará la limitación de adquirir bienes raíces, y patrocinar instituciones de beneficencia o investigación científica o de enseñanza a las iglesias y corporaciones religiosas, a fin de evitar el acaparamiento de bienes en </w:t>
            </w:r>
            <w:r w:rsidRPr="00135FFF">
              <w:rPr>
                <w:rFonts w:ascii="Arial" w:hAnsi="Arial" w:cs="Arial"/>
                <w:sz w:val="24"/>
                <w:szCs w:val="24"/>
              </w:rPr>
              <w:lastRenderedPageBreak/>
              <w:t xml:space="preserve">manos de los ministros de culto de cualquier religión. </w:t>
            </w:r>
          </w:p>
          <w:p w14:paraId="302E145A" w14:textId="240B8845" w:rsidR="008616B3" w:rsidRPr="00135FFF" w:rsidRDefault="00135FFF" w:rsidP="00135F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t>Esta legislación expresa definitivamente la total separación del Estado y la Iglesia, ya no se habla de religión oficial del Estado y se impone una orientación laica en la educación pública e incluso la privada, como corresponde a un Estado laico.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7E354AB" w14:textId="77777777" w:rsidR="000A1E20" w:rsidRDefault="000A1E20"/>
    <w:p w14:paraId="5CEB39D7" w14:textId="4CBCFB4C" w:rsidR="00FA3407" w:rsidRDefault="00FA3407"/>
    <w:p w14:paraId="09017E49" w14:textId="19566AAC" w:rsidR="00D86112" w:rsidRDefault="00D86112"/>
    <w:p w14:paraId="23470C26" w14:textId="77A9C21A" w:rsidR="00D86112" w:rsidRDefault="00D86112"/>
    <w:p w14:paraId="46885768" w14:textId="778E0346" w:rsidR="00D86112" w:rsidRDefault="00D86112"/>
    <w:p w14:paraId="1E20941C" w14:textId="62DEBD6D" w:rsidR="00D86112" w:rsidRDefault="00D86112"/>
    <w:p w14:paraId="1615F4D6" w14:textId="635E8158" w:rsidR="00D86112" w:rsidRDefault="00D86112"/>
    <w:p w14:paraId="3B94F160" w14:textId="5BFCB2A2" w:rsidR="00D86112" w:rsidRDefault="00D86112"/>
    <w:p w14:paraId="085DEAFD" w14:textId="160CA23C" w:rsidR="00D86112" w:rsidRDefault="00D86112"/>
    <w:p w14:paraId="7DB8A5B8" w14:textId="2FBA8073" w:rsidR="00D86112" w:rsidRDefault="00D86112"/>
    <w:p w14:paraId="20DE9851" w14:textId="16861B6B" w:rsidR="00D86112" w:rsidRDefault="00D86112"/>
    <w:p w14:paraId="31D68FFE" w14:textId="0F5EDEFD" w:rsidR="00D86112" w:rsidRDefault="00D86112"/>
    <w:p w14:paraId="2ABC4FA7" w14:textId="6DE5FCDE" w:rsidR="00D86112" w:rsidRDefault="00D86112"/>
    <w:p w14:paraId="2B22B98D" w14:textId="77777777" w:rsidR="00D86112" w:rsidRDefault="00D86112"/>
    <w:p w14:paraId="0270E129" w14:textId="77777777" w:rsidR="00D86112" w:rsidRDefault="00D8611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  <w:sectPr w:rsidR="00D86112" w:rsidSect="000A1E20">
          <w:pgSz w:w="15840" w:h="12240" w:orient="landscape"/>
          <w:pgMar w:top="1701" w:right="1418" w:bottom="1701" w:left="1418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1A58E20C" w14:textId="05EC212A" w:rsidR="003B3E6D" w:rsidRPr="003B3E6D" w:rsidRDefault="0041095E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1095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Referencias bibliográficas </w:t>
      </w:r>
    </w:p>
    <w:p w14:paraId="46ABACA3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Barba, J. B. (2019). Artículo tercero Constitucional. Génesis, transformación y axiología.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Revista mexicana de investigación educativa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24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(80), 287-316.</w:t>
      </w:r>
    </w:p>
    <w:p w14:paraId="430AB15F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Maldonado, E. J. T., &amp; Nolasco, G. G. (2018). Revolución y Constitución. Estudio crítico de la ingeniería constitucional de las cartas magnas de 1824, 1857 y 1917 de México.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Alegatos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24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(75), 455-480. </w:t>
      </w:r>
    </w:p>
    <w:p w14:paraId="0C436048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Núñez, J. M. J., &amp; Salinas, S. C. (2016). La Constitución de 1917 y su influencia en la educación nacional contemporánea.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Argumentos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29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(82), 43-67. </w:t>
      </w:r>
    </w:p>
    <w:p w14:paraId="0A4D6CAD" w14:textId="77777777" w:rsidR="00FA3407" w:rsidRDefault="00FA3407"/>
    <w:p w14:paraId="3357F41B" w14:textId="2D6EAF72" w:rsidR="00FA3407" w:rsidRDefault="00FA3407">
      <w:pPr>
        <w:sectPr w:rsidR="00FA3407" w:rsidSect="00D86112">
          <w:pgSz w:w="12240" w:h="15840"/>
          <w:pgMar w:top="1418" w:right="1701" w:bottom="1418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503C7AF6" w14:textId="77777777" w:rsidR="000A1E20" w:rsidRPr="000A1E20" w:rsidRDefault="000A1E20" w:rsidP="000A1E20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hAnsi="Arial" w:cs="Arial"/>
          <w:b/>
          <w:szCs w:val="20"/>
        </w:rPr>
      </w:pPr>
      <w:r w:rsidRPr="000A1E20">
        <w:rPr>
          <w:rFonts w:ascii="Arial" w:hAnsi="Arial" w:cs="Arial"/>
          <w:b/>
          <w:szCs w:val="20"/>
        </w:rPr>
        <w:lastRenderedPageBreak/>
        <w:t>RÚBRICA ACTIVIDAD 1.</w:t>
      </w:r>
    </w:p>
    <w:p w14:paraId="186C5DEC" w14:textId="4E245456" w:rsidR="000A1E20" w:rsidRPr="000A1E20" w:rsidRDefault="000A1E20" w:rsidP="000A1E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Cs w:val="20"/>
        </w:rPr>
      </w:pPr>
      <w:r w:rsidRPr="000A1E20">
        <w:rPr>
          <w:rFonts w:ascii="Arial" w:hAnsi="Arial" w:cs="Arial"/>
          <w:szCs w:val="20"/>
        </w:rPr>
        <w:t xml:space="preserve">Nota. Señalar bibliografía.  </w:t>
      </w:r>
    </w:p>
    <w:tbl>
      <w:tblPr>
        <w:tblW w:w="1397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2568"/>
        <w:gridCol w:w="285"/>
        <w:gridCol w:w="2568"/>
        <w:gridCol w:w="143"/>
        <w:gridCol w:w="2282"/>
        <w:gridCol w:w="142"/>
        <w:gridCol w:w="1854"/>
        <w:gridCol w:w="143"/>
        <w:gridCol w:w="1851"/>
        <w:gridCol w:w="145"/>
      </w:tblGrid>
      <w:tr w:rsidR="000A1E20" w:rsidRPr="0060140F" w14:paraId="33DF8457" w14:textId="77777777" w:rsidTr="00B416A1">
        <w:trPr>
          <w:trHeight w:hRule="exact" w:val="306"/>
        </w:trPr>
        <w:tc>
          <w:tcPr>
            <w:tcW w:w="1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5BE06F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BDB08E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B1433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B2AF7C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803026A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80523A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A1E20" w:rsidRPr="00F50B04" w14:paraId="0EC57885" w14:textId="77777777" w:rsidTr="00B416A1">
        <w:trPr>
          <w:trHeight w:val="648"/>
        </w:trPr>
        <w:tc>
          <w:tcPr>
            <w:tcW w:w="1997" w:type="dxa"/>
            <w:shd w:val="clear" w:color="auto" w:fill="auto"/>
            <w:vAlign w:val="center"/>
          </w:tcPr>
          <w:p w14:paraId="20E4CE75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568" w:type="dxa"/>
            <w:shd w:val="clear" w:color="auto" w:fill="auto"/>
          </w:tcPr>
          <w:p w14:paraId="04D1119C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39D3C8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2226E87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42" w:type="dxa"/>
            <w:shd w:val="clear" w:color="auto" w:fill="auto"/>
          </w:tcPr>
          <w:p w14:paraId="49B21C7D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50FBC4C5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41" w:type="dxa"/>
            <w:shd w:val="clear" w:color="auto" w:fill="auto"/>
          </w:tcPr>
          <w:p w14:paraId="65B89FD7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76D8F8FB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42" w:type="dxa"/>
            <w:shd w:val="clear" w:color="auto" w:fill="auto"/>
          </w:tcPr>
          <w:p w14:paraId="7CD4BB6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08255E5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145" w:type="dxa"/>
            <w:shd w:val="clear" w:color="auto" w:fill="auto"/>
          </w:tcPr>
          <w:p w14:paraId="1CA205CE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76F0DDBD" w14:textId="77777777" w:rsidTr="00B416A1">
        <w:trPr>
          <w:trHeight w:val="17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123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39A8A5BF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58C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87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C97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6C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A97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9B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871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223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D33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45" w:type="dxa"/>
            <w:shd w:val="clear" w:color="auto" w:fill="auto"/>
          </w:tcPr>
          <w:p w14:paraId="67BA739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1CDD4AC9" w14:textId="77777777" w:rsidTr="00B416A1">
        <w:trPr>
          <w:trHeight w:val="1178"/>
        </w:trPr>
        <w:tc>
          <w:tcPr>
            <w:tcW w:w="1997" w:type="dxa"/>
            <w:shd w:val="clear" w:color="auto" w:fill="auto"/>
            <w:vAlign w:val="center"/>
          </w:tcPr>
          <w:p w14:paraId="117787DC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568" w:type="dxa"/>
            <w:shd w:val="clear" w:color="auto" w:fill="auto"/>
          </w:tcPr>
          <w:p w14:paraId="31A3C17D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84" w:type="dxa"/>
            <w:shd w:val="clear" w:color="auto" w:fill="auto"/>
          </w:tcPr>
          <w:p w14:paraId="7242A59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01D748C8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42" w:type="dxa"/>
            <w:shd w:val="clear" w:color="auto" w:fill="auto"/>
          </w:tcPr>
          <w:p w14:paraId="3B0FD9AD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6A1EA47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41" w:type="dxa"/>
            <w:shd w:val="clear" w:color="auto" w:fill="auto"/>
          </w:tcPr>
          <w:p w14:paraId="3497E87B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42BE9791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42" w:type="dxa"/>
            <w:shd w:val="clear" w:color="auto" w:fill="auto"/>
          </w:tcPr>
          <w:p w14:paraId="24C96A32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DFBD5CE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45" w:type="dxa"/>
            <w:shd w:val="clear" w:color="auto" w:fill="auto"/>
          </w:tcPr>
          <w:p w14:paraId="21463148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375EC845" w14:textId="77777777" w:rsidTr="00B416A1">
        <w:trPr>
          <w:trHeight w:val="1178"/>
        </w:trPr>
        <w:tc>
          <w:tcPr>
            <w:tcW w:w="1997" w:type="dxa"/>
            <w:shd w:val="clear" w:color="auto" w:fill="auto"/>
            <w:vAlign w:val="center"/>
          </w:tcPr>
          <w:p w14:paraId="708ABA43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568" w:type="dxa"/>
            <w:shd w:val="clear" w:color="auto" w:fill="auto"/>
          </w:tcPr>
          <w:p w14:paraId="151893DA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84" w:type="dxa"/>
            <w:shd w:val="clear" w:color="auto" w:fill="auto"/>
          </w:tcPr>
          <w:p w14:paraId="6AECE13E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1C89F991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42" w:type="dxa"/>
            <w:shd w:val="clear" w:color="auto" w:fill="auto"/>
          </w:tcPr>
          <w:p w14:paraId="7437F4D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21B88252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41" w:type="dxa"/>
            <w:shd w:val="clear" w:color="auto" w:fill="auto"/>
          </w:tcPr>
          <w:p w14:paraId="3E6C4FD7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5C3FD2F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42" w:type="dxa"/>
            <w:shd w:val="clear" w:color="auto" w:fill="auto"/>
          </w:tcPr>
          <w:p w14:paraId="178CD168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104A3270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45" w:type="dxa"/>
            <w:shd w:val="clear" w:color="auto" w:fill="auto"/>
          </w:tcPr>
          <w:p w14:paraId="097DBA3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1C65CB3F" w14:textId="77777777" w:rsidTr="00B416A1">
        <w:trPr>
          <w:trHeight w:val="1096"/>
        </w:trPr>
        <w:tc>
          <w:tcPr>
            <w:tcW w:w="1997" w:type="dxa"/>
            <w:shd w:val="clear" w:color="auto" w:fill="auto"/>
            <w:vAlign w:val="center"/>
          </w:tcPr>
          <w:p w14:paraId="4A35E08C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568" w:type="dxa"/>
            <w:shd w:val="clear" w:color="auto" w:fill="auto"/>
          </w:tcPr>
          <w:p w14:paraId="0FF440C4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84" w:type="dxa"/>
            <w:shd w:val="clear" w:color="auto" w:fill="auto"/>
          </w:tcPr>
          <w:p w14:paraId="286553E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524FACD0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42" w:type="dxa"/>
            <w:shd w:val="clear" w:color="auto" w:fill="auto"/>
          </w:tcPr>
          <w:p w14:paraId="55A58BBE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4AEECC3E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41" w:type="dxa"/>
            <w:shd w:val="clear" w:color="auto" w:fill="auto"/>
          </w:tcPr>
          <w:p w14:paraId="461E46A8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12897699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42" w:type="dxa"/>
            <w:shd w:val="clear" w:color="auto" w:fill="auto"/>
          </w:tcPr>
          <w:p w14:paraId="3E977DB6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4BE7673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45" w:type="dxa"/>
            <w:shd w:val="clear" w:color="auto" w:fill="auto"/>
          </w:tcPr>
          <w:p w14:paraId="29D2F09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62C5DD39" w14:textId="77777777" w:rsidTr="00B416A1">
        <w:trPr>
          <w:trHeight w:val="993"/>
        </w:trPr>
        <w:tc>
          <w:tcPr>
            <w:tcW w:w="1997" w:type="dxa"/>
            <w:shd w:val="clear" w:color="auto" w:fill="auto"/>
            <w:vAlign w:val="center"/>
          </w:tcPr>
          <w:p w14:paraId="0832EE4E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4ECE594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2F301DEE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84" w:type="dxa"/>
            <w:shd w:val="clear" w:color="auto" w:fill="auto"/>
          </w:tcPr>
          <w:p w14:paraId="63F9120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65352C7F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42" w:type="dxa"/>
            <w:shd w:val="clear" w:color="auto" w:fill="auto"/>
          </w:tcPr>
          <w:p w14:paraId="43F8E67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3EAD62E1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41" w:type="dxa"/>
            <w:shd w:val="clear" w:color="auto" w:fill="auto"/>
          </w:tcPr>
          <w:p w14:paraId="1CB725CF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39324865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</w:t>
            </w:r>
            <w:r w:rsidRPr="00A57E48">
              <w:rPr>
                <w:sz w:val="18"/>
                <w:szCs w:val="18"/>
              </w:rPr>
              <w:lastRenderedPageBreak/>
              <w:t>ortográficos o de puntuación.</w:t>
            </w:r>
          </w:p>
        </w:tc>
        <w:tc>
          <w:tcPr>
            <w:tcW w:w="142" w:type="dxa"/>
            <w:shd w:val="clear" w:color="auto" w:fill="auto"/>
          </w:tcPr>
          <w:p w14:paraId="59102E7F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CD495E0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</w:t>
            </w:r>
            <w:r w:rsidRPr="00A57E48">
              <w:rPr>
                <w:sz w:val="18"/>
                <w:szCs w:val="18"/>
              </w:rPr>
              <w:lastRenderedPageBreak/>
              <w:t>ortográficos o de puntuación.</w:t>
            </w:r>
          </w:p>
        </w:tc>
        <w:tc>
          <w:tcPr>
            <w:tcW w:w="145" w:type="dxa"/>
            <w:shd w:val="clear" w:color="auto" w:fill="auto"/>
          </w:tcPr>
          <w:p w14:paraId="6286A71D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5C5D0FED" w14:textId="76ECD576" w:rsidR="00B416A1" w:rsidRDefault="00B416A1" w:rsidP="00B416A1">
      <w:pPr>
        <w:spacing w:line="259" w:lineRule="auto"/>
      </w:pPr>
      <w:r>
        <w:t xml:space="preserve"> </w:t>
      </w:r>
    </w:p>
    <w:sectPr w:rsidR="00B416A1" w:rsidSect="00D86112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4ACB" w14:textId="77777777" w:rsidR="006B552A" w:rsidRDefault="006B552A" w:rsidP="00D86112">
      <w:pPr>
        <w:spacing w:after="0" w:line="240" w:lineRule="auto"/>
      </w:pPr>
      <w:r>
        <w:separator/>
      </w:r>
    </w:p>
  </w:endnote>
  <w:endnote w:type="continuationSeparator" w:id="0">
    <w:p w14:paraId="72D8FAF8" w14:textId="77777777" w:rsidR="006B552A" w:rsidRDefault="006B552A" w:rsidP="00D8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120FF" w14:textId="77777777" w:rsidR="006B552A" w:rsidRDefault="006B552A" w:rsidP="00D86112">
      <w:pPr>
        <w:spacing w:after="0" w:line="240" w:lineRule="auto"/>
      </w:pPr>
      <w:r>
        <w:separator/>
      </w:r>
    </w:p>
  </w:footnote>
  <w:footnote w:type="continuationSeparator" w:id="0">
    <w:p w14:paraId="24458FE4" w14:textId="77777777" w:rsidR="006B552A" w:rsidRDefault="006B552A" w:rsidP="00D8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0"/>
    <w:rsid w:val="00000E35"/>
    <w:rsid w:val="0007128A"/>
    <w:rsid w:val="000A1E20"/>
    <w:rsid w:val="00135FFF"/>
    <w:rsid w:val="00243C04"/>
    <w:rsid w:val="0038235E"/>
    <w:rsid w:val="003A6500"/>
    <w:rsid w:val="003B3E6D"/>
    <w:rsid w:val="003F6694"/>
    <w:rsid w:val="0041095E"/>
    <w:rsid w:val="004269D8"/>
    <w:rsid w:val="006B552A"/>
    <w:rsid w:val="008616B3"/>
    <w:rsid w:val="008C4178"/>
    <w:rsid w:val="00B416A1"/>
    <w:rsid w:val="00BC58E2"/>
    <w:rsid w:val="00CD7DF0"/>
    <w:rsid w:val="00D86112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F6A3"/>
  <w15:chartTrackingRefBased/>
  <w15:docId w15:val="{36BC2D75-8335-41CA-B811-00D6F70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112"/>
  </w:style>
  <w:style w:type="paragraph" w:styleId="Piedepgina">
    <w:name w:val="footer"/>
    <w:basedOn w:val="Normal"/>
    <w:link w:val="PiedepginaCar"/>
    <w:uiPriority w:val="99"/>
    <w:unhideWhenUsed/>
    <w:rsid w:val="00D8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14</cp:revision>
  <dcterms:created xsi:type="dcterms:W3CDTF">2021-03-15T06:08:00Z</dcterms:created>
  <dcterms:modified xsi:type="dcterms:W3CDTF">2021-03-16T05:19:00Z</dcterms:modified>
</cp:coreProperties>
</file>