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47" w:rsidRP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>Escuela Normal de Educación Preescolar</w:t>
      </w:r>
    </w:p>
    <w:p w:rsidR="00C5135A" w:rsidRP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>Licenciatura en Educación Preescolar</w:t>
      </w: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 xml:space="preserve">Ciclo Escolar 2020 </w:t>
      </w:r>
      <w:r>
        <w:rPr>
          <w:rFonts w:ascii="Arial" w:hAnsi="Arial" w:cs="Arial"/>
          <w:b/>
          <w:sz w:val="32"/>
          <w:szCs w:val="24"/>
        </w:rPr>
        <w:t>–</w:t>
      </w:r>
      <w:r w:rsidRPr="00C5135A">
        <w:rPr>
          <w:rFonts w:ascii="Arial" w:hAnsi="Arial" w:cs="Arial"/>
          <w:b/>
          <w:sz w:val="32"/>
          <w:szCs w:val="24"/>
        </w:rPr>
        <w:t xml:space="preserve"> 2021</w:t>
      </w: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C5135A" w:rsidRPr="00C5135A" w:rsidRDefault="00C5135A" w:rsidP="00C5135A">
      <w:pPr>
        <w:spacing w:after="0"/>
        <w:rPr>
          <w:rFonts w:ascii="Arial" w:hAnsi="Arial" w:cs="Arial"/>
          <w:b/>
          <w:sz w:val="20"/>
          <w:szCs w:val="24"/>
        </w:rPr>
      </w:pP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Actividad 1.1</w:t>
      </w: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Curso: </w:t>
      </w: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C5135A">
        <w:rPr>
          <w:rFonts w:ascii="Arial" w:hAnsi="Arial" w:cs="Arial"/>
          <w:sz w:val="32"/>
          <w:szCs w:val="24"/>
        </w:rPr>
        <w:t>Bases legales y formativas para la educación básica</w:t>
      </w: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 xml:space="preserve">Maestro: </w:t>
      </w: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C5135A">
        <w:rPr>
          <w:rFonts w:ascii="Arial" w:hAnsi="Arial" w:cs="Arial"/>
          <w:sz w:val="32"/>
          <w:szCs w:val="24"/>
        </w:rPr>
        <w:t>Arturo Flores Rodríguez</w:t>
      </w: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C5135A" w:rsidRP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>Alumna:</w:t>
      </w: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Paulina Guerrero Sánchez </w:t>
      </w:r>
      <w:r w:rsidRPr="00C5135A">
        <w:rPr>
          <w:rFonts w:ascii="Arial" w:hAnsi="Arial" w:cs="Arial"/>
          <w:sz w:val="32"/>
          <w:szCs w:val="24"/>
        </w:rPr>
        <w:t xml:space="preserve"> </w:t>
      </w: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C5135A" w:rsidRP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 xml:space="preserve">Número de lista: </w:t>
      </w: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9</w:t>
      </w: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>Grado y Sección:</w:t>
      </w:r>
    </w:p>
    <w:p w:rsidR="00C5135A" w:rsidRP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C5135A">
        <w:rPr>
          <w:rFonts w:ascii="Arial" w:hAnsi="Arial" w:cs="Arial"/>
          <w:sz w:val="32"/>
          <w:szCs w:val="24"/>
        </w:rPr>
        <w:t>3ºA</w:t>
      </w: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C5135A" w:rsidRDefault="00C5135A" w:rsidP="00C5135A">
      <w:pPr>
        <w:spacing w:after="0"/>
        <w:rPr>
          <w:rFonts w:ascii="Arial" w:hAnsi="Arial" w:cs="Arial"/>
          <w:sz w:val="32"/>
          <w:szCs w:val="24"/>
        </w:rPr>
      </w:pPr>
    </w:p>
    <w:p w:rsidR="00C5135A" w:rsidRDefault="00C5135A" w:rsidP="00C5135A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C5135A" w:rsidRPr="00C5135A" w:rsidRDefault="00C5135A" w:rsidP="00C5135A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>15 de marzo, 2021</w:t>
      </w:r>
      <w:r w:rsidRPr="00C5135A">
        <w:rPr>
          <w:rFonts w:ascii="Arial" w:hAnsi="Arial" w:cs="Arial"/>
          <w:b/>
          <w:sz w:val="32"/>
          <w:szCs w:val="24"/>
        </w:rPr>
        <w:tab/>
      </w:r>
      <w:r w:rsidRPr="00C5135A">
        <w:rPr>
          <w:rFonts w:ascii="Arial" w:hAnsi="Arial" w:cs="Arial"/>
          <w:b/>
          <w:sz w:val="32"/>
          <w:szCs w:val="24"/>
        </w:rPr>
        <w:tab/>
      </w:r>
      <w:r w:rsidRPr="00C5135A">
        <w:rPr>
          <w:rFonts w:ascii="Arial" w:hAnsi="Arial" w:cs="Arial"/>
          <w:b/>
          <w:sz w:val="32"/>
          <w:szCs w:val="24"/>
        </w:rPr>
        <w:tab/>
      </w:r>
      <w:r w:rsidRPr="00C5135A">
        <w:rPr>
          <w:rFonts w:ascii="Arial" w:hAnsi="Arial" w:cs="Arial"/>
          <w:b/>
          <w:sz w:val="32"/>
          <w:szCs w:val="24"/>
        </w:rPr>
        <w:tab/>
      </w:r>
      <w:r w:rsidRPr="00C5135A">
        <w:rPr>
          <w:rFonts w:ascii="Arial" w:hAnsi="Arial" w:cs="Arial"/>
          <w:b/>
          <w:sz w:val="32"/>
          <w:szCs w:val="24"/>
        </w:rPr>
        <w:tab/>
        <w:t xml:space="preserve">Saltillo, Coahuila.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6889"/>
      </w:tblGrid>
      <w:tr w:rsidR="00FD5B21" w:rsidRPr="00FD5B21" w:rsidTr="00657FFB"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Reformas</w:t>
            </w:r>
          </w:p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educativas</w:t>
            </w:r>
          </w:p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Artículo 3°</w:t>
            </w:r>
          </w:p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constitucional</w:t>
            </w:r>
          </w:p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CONTENIDO</w:t>
            </w:r>
          </w:p>
          <w:p w:rsidR="00FD5B21" w:rsidRPr="00FD5B21" w:rsidRDefault="00FD5B21" w:rsidP="00FD5B21">
            <w:pPr>
              <w:spacing w:after="0" w:line="240" w:lineRule="auto"/>
              <w:ind w:left="1140" w:hanging="3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1.</w:t>
            </w:r>
            <w:r w:rsidRPr="00FD5B21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t>       </w:t>
            </w:r>
            <w:r w:rsidRPr="00FD5B21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Modificaciones realizadas al artículo (en la</w:t>
            </w:r>
            <w:r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 xml:space="preserve"> </w:t>
            </w:r>
            <w:r w:rsidRPr="00FD5B21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redacción)</w:t>
            </w:r>
          </w:p>
          <w:p w:rsidR="00FD5B21" w:rsidRPr="00FD5B21" w:rsidRDefault="00FD5B21" w:rsidP="00FD5B21">
            <w:pPr>
              <w:spacing w:after="0" w:line="240" w:lineRule="auto"/>
              <w:ind w:left="1140" w:hanging="3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2.</w:t>
            </w:r>
            <w:r w:rsidRPr="00FD5B21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t>       </w:t>
            </w:r>
            <w:r w:rsidRPr="00FD5B21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Principios que establece</w:t>
            </w:r>
          </w:p>
          <w:p w:rsidR="00FD5B21" w:rsidRPr="00FD5B21" w:rsidRDefault="00FD5B21" w:rsidP="00FD5B21">
            <w:pPr>
              <w:spacing w:after="0" w:line="240" w:lineRule="auto"/>
              <w:ind w:left="11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3.</w:t>
            </w:r>
            <w:r w:rsidRPr="00FD5B21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t>       </w:t>
            </w:r>
            <w:r w:rsidRPr="00FD5B21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Cuáles son sus principales aportes y en qué argumentos se sustentan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1917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 y 12. (El punto número 1 del  contenido es en referencia a la constitución de 1857)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1934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 y 13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1946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 y 14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1980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 y 15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1992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 y 16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1993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 y 17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2002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 y 18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2011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 y 19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2012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48C" w:rsidRPr="00435ED0" w:rsidRDefault="008B648C" w:rsidP="008B648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435ED0">
              <w:rPr>
                <w:rFonts w:ascii="Arial" w:hAnsi="Arial" w:cs="Arial"/>
                <w:b/>
                <w:color w:val="000000"/>
              </w:rPr>
              <w:t>Modificaciones realizadas al artículo</w:t>
            </w:r>
          </w:p>
          <w:p w:rsidR="008B648C" w:rsidRPr="00BC5E1A" w:rsidRDefault="008B648C" w:rsidP="008B648C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b/>
                <w:color w:val="000000"/>
                <w:sz w:val="22"/>
                <w:u w:val="single"/>
              </w:rPr>
              <w:t xml:space="preserve"> Art </w:t>
            </w:r>
            <w:r w:rsidR="00562319" w:rsidRPr="00BC5E1A">
              <w:rPr>
                <w:rFonts w:ascii="Arial" w:hAnsi="Arial" w:cs="Arial"/>
                <w:b/>
                <w:color w:val="000000"/>
                <w:sz w:val="22"/>
                <w:u w:val="single"/>
              </w:rPr>
              <w:t>3.</w:t>
            </w:r>
            <w:r w:rsidRPr="00BC5E1A">
              <w:rPr>
                <w:rFonts w:ascii="Arial" w:hAnsi="Arial" w:cs="Arial"/>
                <w:b/>
                <w:color w:val="000000"/>
                <w:sz w:val="22"/>
                <w:u w:val="single"/>
              </w:rPr>
              <w:t xml:space="preserve"> (1857)</w:t>
            </w:r>
            <w:r w:rsidR="00562319" w:rsidRPr="00BC5E1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BC5E1A">
              <w:rPr>
                <w:rFonts w:ascii="Arial" w:hAnsi="Arial" w:cs="Arial"/>
                <w:color w:val="000000"/>
                <w:sz w:val="22"/>
              </w:rPr>
              <w:t>La enseñanza es libre. La ley determinará que profesiones necesitan título para su ejercicio y con qué requisitos se deben expedir.</w:t>
            </w:r>
            <w:r w:rsidR="00435ED0" w:rsidRPr="00BC5E1A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:rsidR="008B648C" w:rsidRPr="00BC5E1A" w:rsidRDefault="008B648C" w:rsidP="00435ED0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b/>
                <w:color w:val="000000"/>
                <w:sz w:val="22"/>
                <w:u w:val="single"/>
              </w:rPr>
              <w:t>Art 3. (2012)</w:t>
            </w:r>
            <w:r w:rsidR="00435ED0" w:rsidRPr="00BC5E1A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435ED0" w:rsidRPr="00BC5E1A">
              <w:rPr>
                <w:rFonts w:ascii="Arial" w:hAnsi="Arial" w:cs="Arial"/>
                <w:color w:val="000000"/>
                <w:sz w:val="22"/>
              </w:rPr>
              <w:t>Todo individuo tiene derecho a recibir educación. El Estado –Federación, Estados,</w:t>
            </w:r>
            <w:r w:rsidR="00435ED0" w:rsidRPr="00BC5E1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435ED0" w:rsidRPr="00BC5E1A">
              <w:rPr>
                <w:rFonts w:ascii="Arial" w:hAnsi="Arial" w:cs="Arial"/>
                <w:color w:val="000000"/>
                <w:sz w:val="22"/>
              </w:rPr>
              <w:t>Distrito Federal y Municipios–, impartirá educación preescolar, primaria, secundaria y media superior. La</w:t>
            </w:r>
            <w:r w:rsidR="00435ED0" w:rsidRPr="00BC5E1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435ED0" w:rsidRPr="00BC5E1A">
              <w:rPr>
                <w:rFonts w:ascii="Arial" w:hAnsi="Arial" w:cs="Arial"/>
                <w:color w:val="000000"/>
                <w:sz w:val="22"/>
              </w:rPr>
              <w:t>educación preescolar, primaria y secundaria conforman la educación básica; ésta y la media superior</w:t>
            </w:r>
            <w:r w:rsidR="00435ED0" w:rsidRPr="00BC5E1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435ED0" w:rsidRPr="00BC5E1A">
              <w:rPr>
                <w:rFonts w:ascii="Arial" w:hAnsi="Arial" w:cs="Arial"/>
                <w:color w:val="000000"/>
                <w:sz w:val="22"/>
              </w:rPr>
              <w:t>serán obligatorias.</w:t>
            </w:r>
          </w:p>
          <w:p w:rsidR="00435ED0" w:rsidRPr="00BC5E1A" w:rsidRDefault="00435ED0" w:rsidP="00435ED0">
            <w:pPr>
              <w:pStyle w:val="Prrafodelista"/>
              <w:spacing w:after="0"/>
              <w:ind w:left="108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>La educación que imparta el Estado tenderá a desarrollar armónicament</w:t>
            </w:r>
            <w:r w:rsidRPr="00BC5E1A">
              <w:rPr>
                <w:rFonts w:ascii="Arial" w:hAnsi="Arial" w:cs="Arial"/>
                <w:color w:val="000000"/>
                <w:sz w:val="22"/>
              </w:rPr>
              <w:t xml:space="preserve">e, todas las facultades del ser </w:t>
            </w:r>
            <w:r w:rsidRPr="00BC5E1A">
              <w:rPr>
                <w:rFonts w:ascii="Arial" w:hAnsi="Arial" w:cs="Arial"/>
                <w:color w:val="000000"/>
                <w:sz w:val="22"/>
              </w:rPr>
              <w:t>humano y fomentará en él, a la vez, el amor a la Patria, el respeto a los derechos humanos y la</w:t>
            </w:r>
            <w:r w:rsidRPr="00BC5E1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BC5E1A">
              <w:rPr>
                <w:rFonts w:ascii="Arial" w:hAnsi="Arial" w:cs="Arial"/>
                <w:color w:val="000000"/>
                <w:sz w:val="22"/>
              </w:rPr>
              <w:t>conciencia de la solidaridad internacional, en la independe</w:t>
            </w:r>
            <w:r w:rsidRPr="00BC5E1A">
              <w:rPr>
                <w:rFonts w:ascii="Arial" w:hAnsi="Arial" w:cs="Arial"/>
                <w:color w:val="000000"/>
                <w:sz w:val="22"/>
              </w:rPr>
              <w:t xml:space="preserve">ncia y en la justicia. </w:t>
            </w:r>
          </w:p>
          <w:p w:rsidR="00435ED0" w:rsidRPr="00BC5E1A" w:rsidRDefault="00A70143" w:rsidP="00435ED0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</w:pPr>
            <w:r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El artículo 3º de 1857, como podemos observar está escrito con más brevedad y en un contexto de manera general, sin embargo, el artículo 3º del 2012 está</w:t>
            </w:r>
            <w:r w:rsidR="005063BB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 modificado desde un principio </w:t>
            </w:r>
            <w:r w:rsidR="00BC5E1A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primordial, </w:t>
            </w:r>
            <w:r w:rsidR="005063BB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pues ya no solo la enseñanza es libre, si no que todo individuo tiene d</w:t>
            </w:r>
            <w:r w:rsidR="00BC5E1A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erecho a recibir educación, esto </w:t>
            </w:r>
            <w:r w:rsidR="005063BB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viene siendo el punto más</w:t>
            </w:r>
            <w:r w:rsidR="00BC5E1A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 importante;</w:t>
            </w:r>
            <w:r w:rsidR="005063BB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 pero</w:t>
            </w:r>
            <w:r w:rsidR="00BC5E1A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 también habla de poner</w:t>
            </w:r>
            <w:r w:rsidR="005063BB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 como prioridad al momento de enseñar, ciertos símbolos o valores que engloban al bien común</w:t>
            </w:r>
            <w:r w:rsidR="00BC5E1A" w:rsidRPr="00BC5E1A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. </w:t>
            </w:r>
          </w:p>
          <w:p w:rsidR="007F4924" w:rsidRDefault="007F4924" w:rsidP="00435ED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F4924" w:rsidRDefault="007F4924" w:rsidP="00435ED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435ED0" w:rsidRDefault="00435ED0" w:rsidP="00435ED0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435ED0">
              <w:rPr>
                <w:rFonts w:ascii="Arial" w:hAnsi="Arial" w:cs="Arial"/>
                <w:b/>
                <w:color w:val="000000"/>
              </w:rPr>
              <w:lastRenderedPageBreak/>
              <w:t>Principios que establece</w:t>
            </w:r>
          </w:p>
          <w:p w:rsidR="00BC5E1A" w:rsidRPr="00BC5E1A" w:rsidRDefault="00BC5E1A" w:rsidP="00BC5E1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>I. Garantizada por el artículo 24 la libertad de creencias, dicha educac</w:t>
            </w:r>
            <w:r>
              <w:rPr>
                <w:rFonts w:ascii="Arial" w:hAnsi="Arial" w:cs="Arial"/>
                <w:color w:val="000000"/>
                <w:sz w:val="22"/>
              </w:rPr>
              <w:t xml:space="preserve">ión será laica y, por tanto, se </w:t>
            </w:r>
            <w:r w:rsidRPr="00BC5E1A">
              <w:rPr>
                <w:rFonts w:ascii="Arial" w:hAnsi="Arial" w:cs="Arial"/>
                <w:color w:val="000000"/>
                <w:sz w:val="22"/>
              </w:rPr>
              <w:t>mantendrá por completo ajena a cualquier doctrina religiosa;</w:t>
            </w:r>
          </w:p>
          <w:p w:rsidR="00BC5E1A" w:rsidRPr="00A177CA" w:rsidRDefault="00BC5E1A" w:rsidP="00BC5E1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>II. El criterio que orientará a esa educación se basará en los resultados d</w:t>
            </w:r>
            <w:r>
              <w:rPr>
                <w:rFonts w:ascii="Arial" w:hAnsi="Arial" w:cs="Arial"/>
                <w:color w:val="000000"/>
                <w:sz w:val="22"/>
              </w:rPr>
              <w:t xml:space="preserve">el progreso científico, luchará </w:t>
            </w:r>
            <w:r w:rsidRPr="00BC5E1A">
              <w:rPr>
                <w:rFonts w:ascii="Arial" w:hAnsi="Arial" w:cs="Arial"/>
                <w:color w:val="000000"/>
                <w:sz w:val="22"/>
              </w:rPr>
              <w:t xml:space="preserve">contra la ignorancia y sus efectos, las servidumbres, los fanatismos y los prejuicios. </w:t>
            </w:r>
            <w:r w:rsidRPr="00BC5E1A">
              <w:rPr>
                <w:rFonts w:ascii="Arial" w:hAnsi="Arial" w:cs="Arial"/>
                <w:color w:val="000000"/>
                <w:sz w:val="22"/>
              </w:rPr>
              <w:cr/>
            </w:r>
          </w:p>
          <w:p w:rsidR="00BC5E1A" w:rsidRPr="00A177CA" w:rsidRDefault="00BC5E1A" w:rsidP="00A177C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 xml:space="preserve">III. Para dar pleno cumplimiento a lo dispuesto en el segundo párrafo y 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en la fracción II, el Ejecutivo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Federal determinará los planes y programas de estudio de la educación preescolar, primaria, secundaria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y normal para toda la República. Para tales efectos, el Ejecutivo Federal considerará la opinión de los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gobiernos de las entidades federativas y del Distrito Federal, así como de los diversos sectores sociales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involucrados en la educación, en los términos que la ley señale.</w:t>
            </w:r>
          </w:p>
          <w:p w:rsidR="00BC5E1A" w:rsidRPr="00BC5E1A" w:rsidRDefault="00BC5E1A" w:rsidP="00BC5E1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>IV. Toda la educación que el Estado imparta será gratuita;</w:t>
            </w:r>
          </w:p>
          <w:p w:rsidR="00BC5E1A" w:rsidRPr="00A177CA" w:rsidRDefault="00BC5E1A" w:rsidP="00A177C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 xml:space="preserve">V. Además de impartir la educación preescolar, primaria, secundaria y 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media superior, señaladas en el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primer párrafo, el Estado promoverá y atenderá todos los tipos y modalidades educativos –incluyendo la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educación inicial y a la educación superior– necesarios para el desarrollo de la nación, apoyará la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investigación científica y tecnológica, y alentará el fortalecimiento y difusión de nuestra cultura;</w:t>
            </w:r>
          </w:p>
          <w:p w:rsidR="00BC5E1A" w:rsidRPr="00A177CA" w:rsidRDefault="00BC5E1A" w:rsidP="00A177C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>VI. Los particulares podrán impartir educación en todos sus tipos y m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odalidades. En los términos que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establezca la ley, el Estado otorgará y retirará el reconocimiento de validez oficial a los estudios que se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realicen en planteles particulares. En el caso de la educación preescolar, primaria, secundaria y normal,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los particulares deberán:</w:t>
            </w:r>
          </w:p>
          <w:p w:rsidR="00BC5E1A" w:rsidRPr="00A177CA" w:rsidRDefault="00BC5E1A" w:rsidP="00A177C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 xml:space="preserve">a) Impartir la educación con apego a los mismos fines y criterios que 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establecen el segundo párrafo y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la fracción II, así como cumplir los planes y programas a que se refiere la fracción III, y</w:t>
            </w:r>
          </w:p>
          <w:p w:rsidR="00BC5E1A" w:rsidRPr="00A177CA" w:rsidRDefault="00BC5E1A" w:rsidP="00A177C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>b) Obtener previamente, en cada caso, la autorización expresa del poder público, en los térm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inos que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establezca la ley;</w:t>
            </w:r>
          </w:p>
          <w:p w:rsidR="00BC5E1A" w:rsidRPr="00A177CA" w:rsidRDefault="00BC5E1A" w:rsidP="00A177C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>VII. Las universidades y las demás instituciones de educación su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perior a las que la ley otorgue </w:t>
            </w:r>
            <w:r w:rsidRPr="00A177CA">
              <w:rPr>
                <w:rFonts w:ascii="Arial" w:hAnsi="Arial" w:cs="Arial"/>
                <w:color w:val="000000"/>
                <w:sz w:val="22"/>
              </w:rPr>
              <w:t xml:space="preserve">autonomía, tendrán la </w:t>
            </w:r>
            <w:r w:rsidRPr="00A177CA">
              <w:rPr>
                <w:rFonts w:ascii="Arial" w:hAnsi="Arial" w:cs="Arial"/>
                <w:color w:val="000000"/>
                <w:sz w:val="22"/>
              </w:rPr>
              <w:lastRenderedPageBreak/>
              <w:t>facultad y la responsabilidad de gobernarse a sí mismas; realizarán sus fines de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educar, investigar y difundir la cultura de acuerdo con los principios de este artículo, respetando la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libertad de cátedra e investigación y de libre examen y discusión de las ideas; determinarán sus planes y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programas; fijarán los términos de ingreso, promoción y permanencia de su personal académico; y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administrarán su patrimonio. Las relaciones laborales, tanto del personal académico como del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administrativo, se normarán por el apartado A del artículo 123 de esta Constitución, en los términos y con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las modalidades que establezca la Ley Federal del Trabajo conforme a las características propias de un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trabajo especial, de manera que concuerden con la autonomía, la libertad de cátedra e investigación y los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fines de las instituciones a que esta fracción se refiere, y</w:t>
            </w:r>
          </w:p>
          <w:p w:rsidR="00BC5E1A" w:rsidRPr="00A177CA" w:rsidRDefault="00BC5E1A" w:rsidP="00A177C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C5E1A">
              <w:rPr>
                <w:rFonts w:ascii="Arial" w:hAnsi="Arial" w:cs="Arial"/>
                <w:color w:val="000000"/>
                <w:sz w:val="22"/>
              </w:rPr>
              <w:t xml:space="preserve">VIII. El Congreso de la Unión, con el fin de unificar y coordinar la 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educación en toda la República,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expedirá las leyes necesarias, destinadas a distribuir la función social educativa entre la Federación, los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Estados y los Municipios, a fijar las aportaciones económicas correspondientes a ese servicio público y a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señalar las sanciones aplicables a los funcionarios que no cumplan o no hagan cumplir las disposiciones</w:t>
            </w:r>
            <w:r w:rsidR="00A177C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A177CA">
              <w:rPr>
                <w:rFonts w:ascii="Arial" w:hAnsi="Arial" w:cs="Arial"/>
                <w:color w:val="000000"/>
                <w:sz w:val="22"/>
              </w:rPr>
              <w:t>relativas, lo mismo que a todos aquellos que las infrinjan.</w:t>
            </w:r>
          </w:p>
          <w:p w:rsidR="007F4924" w:rsidRPr="00EC1EB7" w:rsidRDefault="007F4924" w:rsidP="007F4924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b/>
                <w:color w:val="000000"/>
                <w:sz w:val="2"/>
              </w:rPr>
            </w:pPr>
          </w:p>
          <w:p w:rsidR="007F4924" w:rsidRDefault="007F4924" w:rsidP="00435ED0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FD5B21">
              <w:rPr>
                <w:color w:val="000000"/>
                <w:sz w:val="12"/>
                <w:szCs w:val="14"/>
              </w:rPr>
              <w:t> </w:t>
            </w:r>
            <w:r w:rsidRPr="00FD5B21">
              <w:rPr>
                <w:rFonts w:ascii="Arial" w:hAnsi="Arial" w:cs="Arial"/>
                <w:b/>
                <w:color w:val="000000"/>
              </w:rPr>
              <w:t>Cuáles son sus principales aportes y en qué argumentos se sustentan</w:t>
            </w:r>
          </w:p>
          <w:p w:rsidR="00935112" w:rsidRDefault="00935112" w:rsidP="00935112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75D6A">
              <w:rPr>
                <w:rFonts w:ascii="Arial" w:hAnsi="Arial" w:cs="Arial"/>
                <w:color w:val="000000"/>
                <w:sz w:val="22"/>
              </w:rPr>
              <w:t>Que la educación además de ser</w:t>
            </w:r>
            <w:r w:rsidR="00375D6A" w:rsidRPr="00375D6A">
              <w:rPr>
                <w:rFonts w:ascii="Arial" w:hAnsi="Arial" w:cs="Arial"/>
                <w:color w:val="000000"/>
                <w:sz w:val="22"/>
              </w:rPr>
              <w:t xml:space="preserve"> laica, tendrá principios primordiales como la democracia, que esto sea a nivel nacional y que sea con el fin de contribuir y fortalecer la convivencia humana</w:t>
            </w:r>
            <w:r w:rsidR="00375D6A">
              <w:rPr>
                <w:rFonts w:ascii="Arial" w:hAnsi="Arial" w:cs="Arial"/>
                <w:color w:val="000000"/>
                <w:sz w:val="22"/>
              </w:rPr>
              <w:t xml:space="preserve">. Cada estado será el </w:t>
            </w:r>
            <w:r w:rsidR="00EC1EB7">
              <w:rPr>
                <w:rFonts w:ascii="Arial" w:hAnsi="Arial" w:cs="Arial"/>
                <w:color w:val="000000"/>
                <w:sz w:val="22"/>
              </w:rPr>
              <w:t xml:space="preserve">encargado de que esto se cumpla firmemente </w:t>
            </w:r>
            <w:r w:rsidR="00375D6A">
              <w:rPr>
                <w:rFonts w:ascii="Arial" w:hAnsi="Arial" w:cs="Arial"/>
                <w:color w:val="000000"/>
                <w:sz w:val="22"/>
              </w:rPr>
              <w:t>y se</w:t>
            </w:r>
            <w:r w:rsidR="00EC1EB7">
              <w:rPr>
                <w:rFonts w:ascii="Arial" w:hAnsi="Arial" w:cs="Arial"/>
                <w:color w:val="000000"/>
                <w:sz w:val="22"/>
              </w:rPr>
              <w:t xml:space="preserve"> establezca en su propio estado, sin privilegio alguno. </w:t>
            </w:r>
          </w:p>
          <w:p w:rsidR="00EC1EB7" w:rsidRPr="00EC1EB7" w:rsidRDefault="00EC1EB7" w:rsidP="00EC1EB7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C1EB7">
              <w:rPr>
                <w:rFonts w:ascii="Arial" w:hAnsi="Arial" w:cs="Arial"/>
                <w:color w:val="000000"/>
                <w:sz w:val="22"/>
              </w:rPr>
              <w:t xml:space="preserve">El Congreso de la Unión, con el fin de unificar y coordinar la </w:t>
            </w:r>
            <w:r>
              <w:rPr>
                <w:rFonts w:ascii="Arial" w:hAnsi="Arial" w:cs="Arial"/>
                <w:color w:val="000000"/>
                <w:sz w:val="22"/>
              </w:rPr>
              <w:t>educación será el encargado en toda la República, de expedir</w:t>
            </w:r>
            <w:r w:rsidRPr="00EC1EB7">
              <w:rPr>
                <w:rFonts w:ascii="Arial" w:hAnsi="Arial" w:cs="Arial"/>
                <w:color w:val="000000"/>
                <w:sz w:val="22"/>
              </w:rPr>
              <w:t xml:space="preserve"> las leyes necesarias, destinadas a distribuir la función social educativa entre la Federación, los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C1EB7">
              <w:rPr>
                <w:rFonts w:ascii="Arial" w:hAnsi="Arial" w:cs="Arial"/>
                <w:color w:val="000000"/>
                <w:sz w:val="22"/>
              </w:rPr>
              <w:t>Estados y los Municipios, a fijar las aportaciones económicas correspondientes a ese servicio público y 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C1EB7">
              <w:rPr>
                <w:rFonts w:ascii="Arial" w:hAnsi="Arial" w:cs="Arial"/>
                <w:color w:val="000000"/>
                <w:sz w:val="22"/>
              </w:rPr>
              <w:t>señalar las sanciones aplicables a los funcionarios que no cumplan o no hagan cumplir las disposiciones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C1EB7">
              <w:rPr>
                <w:rFonts w:ascii="Arial" w:hAnsi="Arial" w:cs="Arial"/>
                <w:color w:val="000000"/>
                <w:sz w:val="22"/>
              </w:rPr>
              <w:t>relativas, lo mismo que a todos aquellos que las infrinjan.</w:t>
            </w:r>
          </w:p>
          <w:p w:rsidR="00A177CA" w:rsidRPr="007F4924" w:rsidRDefault="00A177CA" w:rsidP="00A177CA">
            <w:pPr>
              <w:pStyle w:val="Prrafodelista"/>
              <w:spacing w:after="0"/>
              <w:ind w:left="72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lastRenderedPageBreak/>
              <w:t>2013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>10 y 21</w:t>
            </w:r>
          </w:p>
        </w:tc>
      </w:tr>
      <w:tr w:rsidR="00FD5B21" w:rsidRPr="00FD5B21" w:rsidTr="00657FFB"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FD5B21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>2019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B21" w:rsidRPr="00FD5B21" w:rsidRDefault="00FD5B21" w:rsidP="007C2A72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</w:pPr>
            <w:r w:rsidRPr="00FD5B2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>11 y 22.</w:t>
            </w:r>
          </w:p>
        </w:tc>
      </w:tr>
    </w:tbl>
    <w:p w:rsidR="00657FFB" w:rsidRDefault="00657FFB" w:rsidP="00657FF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before="0" w:beforeAutospacing="0" w:after="0" w:afterAutospacing="0"/>
        <w:ind w:left="720"/>
        <w:contextualSpacing/>
        <w:rPr>
          <w:b/>
          <w:szCs w:val="20"/>
        </w:rPr>
        <w:sectPr w:rsidR="00657FFB" w:rsidSect="00657FFB">
          <w:pgSz w:w="12240" w:h="15840"/>
          <w:pgMar w:top="1417" w:right="1701" w:bottom="1417" w:left="1701" w:header="708" w:footer="708" w:gutter="0"/>
          <w:pgBorders w:offsetFrom="page">
            <w:top w:val="double" w:sz="6" w:space="24" w:color="C00000"/>
            <w:left w:val="double" w:sz="6" w:space="24" w:color="C00000"/>
            <w:bottom w:val="double" w:sz="6" w:space="24" w:color="C00000"/>
            <w:right w:val="double" w:sz="6" w:space="24" w:color="C00000"/>
          </w:pgBorders>
          <w:cols w:space="708"/>
          <w:docGrid w:linePitch="360"/>
        </w:sectPr>
      </w:pPr>
    </w:p>
    <w:p w:rsidR="00657FFB" w:rsidRPr="00657FFB" w:rsidRDefault="00657FFB" w:rsidP="00657FF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2758"/>
        </w:tabs>
        <w:spacing w:after="0"/>
        <w:contextualSpacing/>
        <w:rPr>
          <w:b/>
          <w:szCs w:val="20"/>
        </w:rPr>
      </w:pPr>
      <w:r w:rsidRPr="00657FFB">
        <w:rPr>
          <w:b/>
          <w:szCs w:val="20"/>
        </w:rPr>
        <w:lastRenderedPageBreak/>
        <w:t>RÚBRICA ACTIVIDAD 1.</w:t>
      </w:r>
    </w:p>
    <w:tbl>
      <w:tblPr>
        <w:tblpPr w:leftFromText="141" w:rightFromText="141" w:vertAnchor="text" w:horzAnchor="margin" w:tblpXSpec="center" w:tblpY="86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57FFB" w:rsidRPr="0060140F" w:rsidTr="00657FFB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57FFB" w:rsidRPr="0060140F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57FFB" w:rsidRPr="003804C6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57FFB" w:rsidRPr="003804C6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57FFB" w:rsidRPr="003804C6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57FFB" w:rsidRPr="003804C6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57FFB" w:rsidRPr="003804C6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57FFB" w:rsidRPr="00F50B04" w:rsidTr="00657FFB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657FFB" w:rsidRPr="0060140F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57FFB" w:rsidRPr="00F50B04" w:rsidTr="00657FFB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FB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657FFB" w:rsidRPr="0060140F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57FFB" w:rsidRPr="00F50B04" w:rsidTr="00657FFB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657FFB" w:rsidRPr="0060140F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57FFB" w:rsidRPr="00F50B04" w:rsidTr="00657FFB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657FFB" w:rsidRPr="0060140F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57FFB" w:rsidRPr="00F50B04" w:rsidTr="00657FFB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657FFB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57FFB" w:rsidRPr="00F50B04" w:rsidTr="00657FFB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657FFB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657FFB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657FFB" w:rsidRPr="00686F8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657FFB" w:rsidRPr="00A57E48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657FFB" w:rsidRPr="002D387E" w:rsidRDefault="00657FFB" w:rsidP="00657FF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657FFB" w:rsidRPr="00E91B19" w:rsidRDefault="00657FFB" w:rsidP="00657FF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 w:rsidRPr="00E91B19">
        <w:rPr>
          <w:szCs w:val="20"/>
        </w:rPr>
        <w:t>Nota. Señalar bibliografía.</w:t>
      </w:r>
    </w:p>
    <w:p w:rsidR="00657FFB" w:rsidRDefault="00657FFB" w:rsidP="00657FF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C5135A" w:rsidRPr="00C5135A" w:rsidRDefault="00C5135A" w:rsidP="00657FFB">
      <w:pPr>
        <w:spacing w:after="0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sectPr w:rsidR="00C5135A" w:rsidRPr="00C5135A" w:rsidSect="00657FFB">
      <w:pgSz w:w="15840" w:h="12240" w:orient="landscape"/>
      <w:pgMar w:top="1276" w:right="1418" w:bottom="1701" w:left="1418" w:header="709" w:footer="709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763"/>
    <w:multiLevelType w:val="hybridMultilevel"/>
    <w:tmpl w:val="D6A2AC7E"/>
    <w:lvl w:ilvl="0" w:tplc="5CD85D6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F4E38"/>
    <w:multiLevelType w:val="hybridMultilevel"/>
    <w:tmpl w:val="ED92C2D8"/>
    <w:lvl w:ilvl="0" w:tplc="39E8F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0E432B"/>
    <w:multiLevelType w:val="hybridMultilevel"/>
    <w:tmpl w:val="4C7A65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5A"/>
    <w:rsid w:val="00375D6A"/>
    <w:rsid w:val="00435ED0"/>
    <w:rsid w:val="005063BB"/>
    <w:rsid w:val="00562319"/>
    <w:rsid w:val="00657FFB"/>
    <w:rsid w:val="007C2A72"/>
    <w:rsid w:val="007F4924"/>
    <w:rsid w:val="008A3647"/>
    <w:rsid w:val="008B648C"/>
    <w:rsid w:val="00935112"/>
    <w:rsid w:val="00A177CA"/>
    <w:rsid w:val="00A70143"/>
    <w:rsid w:val="00BC5E1A"/>
    <w:rsid w:val="00C5135A"/>
    <w:rsid w:val="00C96A4E"/>
    <w:rsid w:val="00EC1EB7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9122"/>
  <w15:chartTrackingRefBased/>
  <w15:docId w15:val="{18A9A04C-B349-455B-AC56-75B2A79A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1345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2021-03-16T06:01:00Z</dcterms:created>
  <dcterms:modified xsi:type="dcterms:W3CDTF">2021-03-16T06:01:00Z</dcterms:modified>
</cp:coreProperties>
</file>