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9C6" w:rsidRPr="004F1184" w:rsidRDefault="009A69C6" w:rsidP="009A69C6">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1B7DCC0B" wp14:editId="44097027">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7">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rsidR="009A69C6" w:rsidRPr="004F1184" w:rsidRDefault="009A69C6" w:rsidP="009A69C6">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9A69C6" w:rsidRPr="004F1184" w:rsidRDefault="009A69C6" w:rsidP="009A69C6">
      <w:pPr>
        <w:spacing w:line="360" w:lineRule="auto"/>
        <w:jc w:val="center"/>
        <w:rPr>
          <w:rFonts w:ascii="Arial" w:hAnsi="Arial" w:cs="Arial"/>
          <w:sz w:val="24"/>
          <w:szCs w:val="24"/>
        </w:rPr>
      </w:pPr>
      <w:r w:rsidRPr="004F1184">
        <w:rPr>
          <w:rFonts w:ascii="Arial" w:hAnsi="Arial" w:cs="Arial"/>
          <w:sz w:val="24"/>
          <w:szCs w:val="24"/>
        </w:rPr>
        <w:t>Ciclo escolar 2020-2021</w:t>
      </w:r>
    </w:p>
    <w:p w:rsidR="009A69C6" w:rsidRPr="004F1184" w:rsidRDefault="009A69C6" w:rsidP="009A69C6">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Practicas sociales del Lenguaje. </w:t>
      </w:r>
    </w:p>
    <w:p w:rsidR="009A69C6" w:rsidRPr="004F1184" w:rsidRDefault="009A69C6" w:rsidP="009A69C6">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Profesora María Elena Villarreal Márquez</w:t>
      </w:r>
    </w:p>
    <w:p w:rsidR="009A69C6" w:rsidRPr="004F1184" w:rsidRDefault="009A69C6" w:rsidP="009A69C6">
      <w:pPr>
        <w:spacing w:line="360" w:lineRule="auto"/>
        <w:jc w:val="center"/>
        <w:rPr>
          <w:rFonts w:ascii="Arial" w:hAnsi="Arial" w:cs="Arial"/>
          <w:sz w:val="24"/>
          <w:szCs w:val="24"/>
        </w:rPr>
      </w:pPr>
      <w:r>
        <w:rPr>
          <w:rFonts w:ascii="Arial" w:hAnsi="Arial" w:cs="Arial"/>
          <w:sz w:val="24"/>
          <w:szCs w:val="24"/>
        </w:rPr>
        <w:t>Segundo</w:t>
      </w:r>
      <w:r w:rsidRPr="004F1184">
        <w:rPr>
          <w:rFonts w:ascii="Arial" w:hAnsi="Arial" w:cs="Arial"/>
          <w:sz w:val="24"/>
          <w:szCs w:val="24"/>
        </w:rPr>
        <w:t xml:space="preserve"> semestre Sección </w:t>
      </w:r>
      <w:r>
        <w:rPr>
          <w:rFonts w:ascii="Arial" w:hAnsi="Arial" w:cs="Arial"/>
          <w:sz w:val="24"/>
          <w:szCs w:val="24"/>
        </w:rPr>
        <w:t>C</w:t>
      </w:r>
    </w:p>
    <w:p w:rsidR="009A69C6" w:rsidRPr="004F1184" w:rsidRDefault="009A69C6" w:rsidP="009A69C6">
      <w:pPr>
        <w:spacing w:line="360" w:lineRule="auto"/>
        <w:jc w:val="center"/>
        <w:rPr>
          <w:rFonts w:ascii="Arial" w:hAnsi="Arial" w:cs="Arial"/>
          <w:sz w:val="24"/>
          <w:szCs w:val="24"/>
        </w:rPr>
      </w:pPr>
      <w:r w:rsidRPr="004F1184">
        <w:rPr>
          <w:rFonts w:ascii="Arial" w:hAnsi="Arial" w:cs="Arial"/>
          <w:sz w:val="24"/>
          <w:szCs w:val="24"/>
        </w:rPr>
        <w:t>Alumna</w:t>
      </w:r>
      <w:r w:rsidR="00EA6572">
        <w:rPr>
          <w:rFonts w:ascii="Arial" w:hAnsi="Arial" w:cs="Arial"/>
          <w:sz w:val="24"/>
          <w:szCs w:val="24"/>
        </w:rPr>
        <w:t>s</w:t>
      </w:r>
    </w:p>
    <w:p w:rsidR="009A69C6" w:rsidRDefault="009A69C6" w:rsidP="009A69C6">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rsidR="00EA6572" w:rsidRDefault="00EA6572" w:rsidP="00EA6572">
      <w:pPr>
        <w:spacing w:line="360" w:lineRule="auto"/>
        <w:rPr>
          <w:rFonts w:ascii="Arial" w:hAnsi="Arial" w:cs="Arial"/>
          <w:sz w:val="24"/>
          <w:szCs w:val="24"/>
        </w:rPr>
      </w:pPr>
      <w:r>
        <w:rPr>
          <w:rFonts w:ascii="Arial" w:hAnsi="Arial" w:cs="Arial"/>
          <w:sz w:val="24"/>
          <w:szCs w:val="24"/>
        </w:rPr>
        <w:t xml:space="preserve">                         </w:t>
      </w:r>
      <w:r w:rsidR="00DD607A">
        <w:rPr>
          <w:rFonts w:ascii="Arial" w:hAnsi="Arial" w:cs="Arial"/>
          <w:sz w:val="24"/>
          <w:szCs w:val="24"/>
        </w:rPr>
        <w:t xml:space="preserve">Victoria Hernández Herrera </w:t>
      </w:r>
      <w:r w:rsidRPr="004F1184">
        <w:rPr>
          <w:rFonts w:ascii="Arial" w:hAnsi="Arial" w:cs="Arial"/>
          <w:sz w:val="24"/>
          <w:szCs w:val="24"/>
        </w:rPr>
        <w:t xml:space="preserve">      </w:t>
      </w:r>
      <w:r w:rsidR="00DD607A">
        <w:rPr>
          <w:rFonts w:ascii="Arial" w:hAnsi="Arial" w:cs="Arial"/>
          <w:sz w:val="24"/>
          <w:szCs w:val="24"/>
        </w:rPr>
        <w:t xml:space="preserve">           </w:t>
      </w:r>
      <w:r w:rsidRPr="004F1184">
        <w:rPr>
          <w:rFonts w:ascii="Arial" w:hAnsi="Arial" w:cs="Arial"/>
          <w:sz w:val="24"/>
          <w:szCs w:val="24"/>
        </w:rPr>
        <w:t xml:space="preserve">Número de lista: </w:t>
      </w:r>
      <w:r w:rsidR="00DD607A">
        <w:rPr>
          <w:rFonts w:ascii="Arial" w:hAnsi="Arial" w:cs="Arial"/>
          <w:sz w:val="24"/>
          <w:szCs w:val="24"/>
        </w:rPr>
        <w:t>10</w:t>
      </w:r>
    </w:p>
    <w:p w:rsidR="00EA6572" w:rsidRDefault="0021487C" w:rsidP="0021487C">
      <w:pPr>
        <w:spacing w:line="360" w:lineRule="auto"/>
        <w:rPr>
          <w:rFonts w:ascii="Arial" w:hAnsi="Arial" w:cs="Arial"/>
          <w:sz w:val="24"/>
          <w:szCs w:val="24"/>
        </w:rPr>
      </w:pPr>
      <w:r>
        <w:rPr>
          <w:rFonts w:ascii="Arial" w:hAnsi="Arial" w:cs="Arial"/>
          <w:sz w:val="24"/>
          <w:szCs w:val="24"/>
        </w:rPr>
        <w:t xml:space="preserve">                         </w:t>
      </w:r>
      <w:proofErr w:type="spellStart"/>
      <w:r w:rsidR="00DD607A">
        <w:rPr>
          <w:rFonts w:ascii="Arial" w:hAnsi="Arial" w:cs="Arial"/>
          <w:sz w:val="24"/>
          <w:szCs w:val="24"/>
        </w:rPr>
        <w:t>Nataly</w:t>
      </w:r>
      <w:proofErr w:type="spellEnd"/>
      <w:r w:rsidR="00DD607A">
        <w:rPr>
          <w:rFonts w:ascii="Arial" w:hAnsi="Arial" w:cs="Arial"/>
          <w:sz w:val="24"/>
          <w:szCs w:val="24"/>
        </w:rPr>
        <w:t xml:space="preserve"> Melissa Reynoso Pérez</w:t>
      </w:r>
      <w:bookmarkStart w:id="0" w:name="_GoBack"/>
      <w:bookmarkEnd w:id="0"/>
      <w:r w:rsidR="00DD607A">
        <w:rPr>
          <w:rFonts w:ascii="Arial" w:hAnsi="Arial" w:cs="Arial"/>
          <w:sz w:val="24"/>
          <w:szCs w:val="24"/>
        </w:rPr>
        <w:t xml:space="preserve">       </w:t>
      </w:r>
      <w:r w:rsidR="00EA6572" w:rsidRPr="004F1184">
        <w:rPr>
          <w:rFonts w:ascii="Arial" w:hAnsi="Arial" w:cs="Arial"/>
          <w:sz w:val="24"/>
          <w:szCs w:val="24"/>
        </w:rPr>
        <w:t xml:space="preserve">      Número de lista: </w:t>
      </w:r>
      <w:r w:rsidR="00DD607A">
        <w:rPr>
          <w:rFonts w:ascii="Arial" w:hAnsi="Arial" w:cs="Arial"/>
          <w:sz w:val="24"/>
          <w:szCs w:val="24"/>
        </w:rPr>
        <w:t>13</w:t>
      </w:r>
    </w:p>
    <w:p w:rsidR="00EA6572" w:rsidRDefault="00EA6572" w:rsidP="009A69C6">
      <w:pPr>
        <w:spacing w:line="360" w:lineRule="auto"/>
        <w:jc w:val="center"/>
        <w:rPr>
          <w:rFonts w:ascii="Arial" w:hAnsi="Arial" w:cs="Arial"/>
          <w:sz w:val="24"/>
          <w:szCs w:val="24"/>
        </w:rPr>
      </w:pPr>
    </w:p>
    <w:p w:rsidR="009A69C6" w:rsidRPr="00F47168" w:rsidRDefault="009A69C6" w:rsidP="009A69C6">
      <w:pPr>
        <w:spacing w:line="360" w:lineRule="auto"/>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 xml:space="preserve">Cuadro de comparativo de autores.  </w:t>
      </w:r>
    </w:p>
    <w:p w:rsidR="009A69C6" w:rsidRDefault="009A69C6" w:rsidP="009A69C6">
      <w:pPr>
        <w:spacing w:line="360" w:lineRule="auto"/>
        <w:jc w:val="both"/>
        <w:rPr>
          <w:rFonts w:ascii="Arial" w:hAnsi="Arial" w:cs="Arial"/>
          <w:sz w:val="24"/>
          <w:szCs w:val="24"/>
        </w:rPr>
      </w:pPr>
      <w:r w:rsidRPr="004F1184">
        <w:rPr>
          <w:rFonts w:ascii="Arial" w:hAnsi="Arial" w:cs="Arial"/>
          <w:sz w:val="24"/>
          <w:szCs w:val="24"/>
        </w:rPr>
        <w:t>Competencias profesionales:</w:t>
      </w:r>
    </w:p>
    <w:p w:rsidR="009A69C6" w:rsidRPr="00A43396" w:rsidRDefault="009A69C6" w:rsidP="009A69C6">
      <w:pPr>
        <w:numPr>
          <w:ilvl w:val="0"/>
          <w:numId w:val="1"/>
        </w:numPr>
        <w:spacing w:line="360" w:lineRule="auto"/>
        <w:jc w:val="both"/>
        <w:rPr>
          <w:rFonts w:ascii="Arial" w:hAnsi="Arial" w:cs="Arial"/>
          <w:sz w:val="24"/>
          <w:szCs w:val="24"/>
        </w:rPr>
      </w:pPr>
      <w:r w:rsidRPr="00A43396">
        <w:rPr>
          <w:rFonts w:ascii="Arial" w:hAnsi="Arial" w:cs="Arial"/>
          <w:sz w:val="24"/>
          <w:szCs w:val="24"/>
        </w:rPr>
        <w:t>Utiliza recursos de la investigación educativa para enriquecer su práctica profesional expresando su interés por el conocimiento, la ciencia y la mejora de la educación.</w:t>
      </w:r>
    </w:p>
    <w:p w:rsidR="009A69C6" w:rsidRPr="00A43396" w:rsidRDefault="009A69C6" w:rsidP="009A69C6">
      <w:pPr>
        <w:numPr>
          <w:ilvl w:val="0"/>
          <w:numId w:val="1"/>
        </w:numPr>
        <w:spacing w:line="360" w:lineRule="auto"/>
        <w:jc w:val="both"/>
        <w:rPr>
          <w:rFonts w:ascii="Arial" w:hAnsi="Arial" w:cs="Arial"/>
          <w:sz w:val="24"/>
          <w:szCs w:val="24"/>
        </w:rPr>
      </w:pPr>
      <w:r w:rsidRPr="00A43396">
        <w:rPr>
          <w:rFonts w:ascii="Arial" w:hAnsi="Arial" w:cs="Arial"/>
          <w:sz w:val="24"/>
          <w:szCs w:val="24"/>
        </w:rPr>
        <w:t>Distingue los procesos de aprendizaje de sus alumnos para favorecer su desarrollo cognitivo y socioemocional.</w:t>
      </w:r>
    </w:p>
    <w:p w:rsidR="009A69C6" w:rsidRPr="00A43396" w:rsidRDefault="009A69C6" w:rsidP="009A69C6">
      <w:pPr>
        <w:numPr>
          <w:ilvl w:val="0"/>
          <w:numId w:val="1"/>
        </w:numPr>
        <w:spacing w:line="360" w:lineRule="auto"/>
        <w:jc w:val="both"/>
        <w:rPr>
          <w:rFonts w:ascii="Arial" w:hAnsi="Arial" w:cs="Arial"/>
          <w:sz w:val="24"/>
          <w:szCs w:val="24"/>
        </w:rPr>
      </w:pPr>
      <w:r w:rsidRPr="00A43396">
        <w:rPr>
          <w:rFonts w:ascii="Arial" w:hAnsi="Arial" w:cs="Arial"/>
          <w:sz w:val="24"/>
          <w:szCs w:val="24"/>
        </w:rPr>
        <w:t>Aplica el plan y programas de estudio para alcanzar los propósitos educativos y</w:t>
      </w:r>
      <w:r>
        <w:rPr>
          <w:rFonts w:ascii="Arial" w:hAnsi="Arial" w:cs="Arial"/>
          <w:sz w:val="24"/>
          <w:szCs w:val="24"/>
        </w:rPr>
        <w:t xml:space="preserve"> </w:t>
      </w:r>
      <w:r w:rsidRPr="00A43396">
        <w:rPr>
          <w:rFonts w:ascii="Arial" w:hAnsi="Arial" w:cs="Arial"/>
          <w:sz w:val="24"/>
          <w:szCs w:val="24"/>
        </w:rPr>
        <w:t>de las capacidades de sus alumnos.</w:t>
      </w:r>
    </w:p>
    <w:p w:rsidR="009A69C6" w:rsidRPr="004F1184" w:rsidRDefault="009A69C6" w:rsidP="009A69C6">
      <w:pPr>
        <w:spacing w:line="360" w:lineRule="auto"/>
        <w:jc w:val="both"/>
        <w:rPr>
          <w:rFonts w:ascii="Arial" w:hAnsi="Arial" w:cs="Arial"/>
          <w:sz w:val="24"/>
          <w:szCs w:val="24"/>
        </w:rPr>
      </w:pPr>
    </w:p>
    <w:p w:rsidR="009A69C6" w:rsidRPr="004F1184" w:rsidRDefault="009A69C6" w:rsidP="009A69C6">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9A69C6" w:rsidRDefault="009A69C6" w:rsidP="009A69C6">
      <w:pPr>
        <w:tabs>
          <w:tab w:val="left" w:pos="524"/>
          <w:tab w:val="right" w:pos="9404"/>
        </w:tabs>
        <w:spacing w:line="360" w:lineRule="auto"/>
        <w:rPr>
          <w:rFonts w:ascii="Arial" w:hAnsi="Arial" w:cs="Arial"/>
          <w:sz w:val="24"/>
          <w:szCs w:val="24"/>
        </w:rPr>
        <w:sectPr w:rsidR="009A69C6" w:rsidSect="006A45A4">
          <w:footerReference w:type="default" r:id="rId8"/>
          <w:pgSz w:w="12240" w:h="15840"/>
          <w:pgMar w:top="1418" w:right="1418" w:bottom="1418" w:left="1418" w:header="708" w:footer="708" w:gutter="0"/>
          <w:cols w:space="708"/>
          <w:titlePg/>
          <w:docGrid w:linePitch="360"/>
        </w:sectPr>
      </w:pPr>
      <w:r>
        <w:rPr>
          <w:rFonts w:ascii="Arial" w:hAnsi="Arial" w:cs="Arial"/>
          <w:sz w:val="24"/>
          <w:szCs w:val="24"/>
        </w:rPr>
        <w:tab/>
      </w:r>
      <w:r>
        <w:rPr>
          <w:rFonts w:ascii="Arial" w:hAnsi="Arial" w:cs="Arial"/>
          <w:sz w:val="24"/>
          <w:szCs w:val="24"/>
        </w:rPr>
        <w:tab/>
        <w:t>Marzo</w:t>
      </w:r>
      <w:r w:rsidRPr="004F1184">
        <w:rPr>
          <w:rFonts w:ascii="Arial" w:hAnsi="Arial" w:cs="Arial"/>
          <w:sz w:val="24"/>
          <w:szCs w:val="24"/>
        </w:rPr>
        <w:t xml:space="preserve"> de 20</w:t>
      </w:r>
      <w:r>
        <w:rPr>
          <w:rFonts w:ascii="Arial" w:hAnsi="Arial" w:cs="Arial"/>
          <w:sz w:val="24"/>
          <w:szCs w:val="24"/>
        </w:rPr>
        <w:t>21</w:t>
      </w:r>
    </w:p>
    <w:tbl>
      <w:tblPr>
        <w:tblStyle w:val="Tablaconcuadrcula"/>
        <w:tblpPr w:leftFromText="141" w:rightFromText="141" w:vertAnchor="page" w:horzAnchor="page" w:tblpX="781" w:tblpY="1396"/>
        <w:tblW w:w="14312" w:type="dxa"/>
        <w:tblLook w:val="04A0" w:firstRow="1" w:lastRow="0" w:firstColumn="1" w:lastColumn="0" w:noHBand="0" w:noVBand="1"/>
      </w:tblPr>
      <w:tblGrid>
        <w:gridCol w:w="1555"/>
        <w:gridCol w:w="2835"/>
        <w:gridCol w:w="3402"/>
        <w:gridCol w:w="3543"/>
        <w:gridCol w:w="2977"/>
      </w:tblGrid>
      <w:tr w:rsidR="00EA6572" w:rsidTr="00EA6572">
        <w:trPr>
          <w:trHeight w:val="361"/>
        </w:trPr>
        <w:tc>
          <w:tcPr>
            <w:tcW w:w="1555" w:type="dxa"/>
          </w:tcPr>
          <w:p w:rsidR="00EA6572" w:rsidRPr="009A69C6" w:rsidRDefault="00EA6572" w:rsidP="00EA6572">
            <w:pPr>
              <w:jc w:val="center"/>
              <w:rPr>
                <w:b/>
                <w:bCs/>
              </w:rPr>
            </w:pPr>
            <w:r>
              <w:rPr>
                <w:b/>
                <w:bCs/>
              </w:rPr>
              <w:lastRenderedPageBreak/>
              <w:t>AUTOR</w:t>
            </w:r>
          </w:p>
        </w:tc>
        <w:tc>
          <w:tcPr>
            <w:tcW w:w="2835" w:type="dxa"/>
          </w:tcPr>
          <w:p w:rsidR="00EA6572" w:rsidRPr="009A69C6" w:rsidRDefault="00EA6572" w:rsidP="00EA6572">
            <w:pPr>
              <w:jc w:val="center"/>
              <w:rPr>
                <w:b/>
                <w:bCs/>
              </w:rPr>
            </w:pPr>
            <w:r>
              <w:rPr>
                <w:b/>
                <w:bCs/>
              </w:rPr>
              <w:t xml:space="preserve">CONCEPTO </w:t>
            </w:r>
          </w:p>
        </w:tc>
        <w:tc>
          <w:tcPr>
            <w:tcW w:w="3402" w:type="dxa"/>
          </w:tcPr>
          <w:p w:rsidR="00EA6572" w:rsidRPr="009A69C6" w:rsidRDefault="00EA6572" w:rsidP="00EA6572">
            <w:pPr>
              <w:jc w:val="center"/>
              <w:rPr>
                <w:b/>
                <w:bCs/>
              </w:rPr>
            </w:pPr>
            <w:r>
              <w:rPr>
                <w:b/>
                <w:bCs/>
              </w:rPr>
              <w:t xml:space="preserve">CARACTERISTICAS </w:t>
            </w:r>
          </w:p>
        </w:tc>
        <w:tc>
          <w:tcPr>
            <w:tcW w:w="3543" w:type="dxa"/>
          </w:tcPr>
          <w:p w:rsidR="00EA6572" w:rsidRDefault="00EA6572" w:rsidP="00EA6572">
            <w:pPr>
              <w:jc w:val="center"/>
              <w:rPr>
                <w:b/>
                <w:bCs/>
              </w:rPr>
            </w:pPr>
            <w:r>
              <w:rPr>
                <w:b/>
                <w:bCs/>
              </w:rPr>
              <w:t>SIMILITUDES</w:t>
            </w:r>
          </w:p>
        </w:tc>
        <w:tc>
          <w:tcPr>
            <w:tcW w:w="2977" w:type="dxa"/>
          </w:tcPr>
          <w:p w:rsidR="00EA6572" w:rsidRDefault="00EA6572" w:rsidP="00EA6572">
            <w:pPr>
              <w:jc w:val="center"/>
              <w:rPr>
                <w:b/>
                <w:bCs/>
              </w:rPr>
            </w:pPr>
            <w:r>
              <w:rPr>
                <w:b/>
                <w:bCs/>
              </w:rPr>
              <w:t>DIFERENCIAS</w:t>
            </w:r>
          </w:p>
        </w:tc>
      </w:tr>
      <w:tr w:rsidR="00EA6572" w:rsidTr="00EA6572">
        <w:trPr>
          <w:trHeight w:val="4887"/>
        </w:trPr>
        <w:tc>
          <w:tcPr>
            <w:tcW w:w="1555" w:type="dxa"/>
          </w:tcPr>
          <w:p w:rsidR="00EA6572" w:rsidRPr="009A69C6" w:rsidRDefault="00EA6572" w:rsidP="00EA6572">
            <w:pPr>
              <w:jc w:val="center"/>
              <w:rPr>
                <w:b/>
                <w:bCs/>
              </w:rPr>
            </w:pPr>
            <w:r>
              <w:rPr>
                <w:b/>
                <w:bCs/>
              </w:rPr>
              <w:t>Zamudio, C. y Diaz, C.</w:t>
            </w:r>
          </w:p>
        </w:tc>
        <w:tc>
          <w:tcPr>
            <w:tcW w:w="2835" w:type="dxa"/>
          </w:tcPr>
          <w:p w:rsidR="00EA6572" w:rsidRDefault="00EA6572" w:rsidP="00EA6572">
            <w:r w:rsidRPr="00EA6572">
              <w:rPr>
                <w:sz w:val="20"/>
                <w:szCs w:val="20"/>
              </w:rPr>
              <w:t xml:space="preserve">Define a las practicas sociales del lenguaje como pautas o modos de interacción que marcan la producción e interpretación de textos orales y escritos, aproximarse a su escritura y participar en los intercambios orales y analizarlos.  Dentro de su acción, los individuos aprenden a hablar e interactuar con los otros, a interpretar, producir textos y analizarlos; a identificar problemas y solucionarlos; a transformar y crear nuevos géneros y formatos gráficos. </w:t>
            </w:r>
          </w:p>
        </w:tc>
        <w:tc>
          <w:tcPr>
            <w:tcW w:w="3402" w:type="dxa"/>
          </w:tcPr>
          <w:p w:rsidR="00EA6572" w:rsidRPr="00EA6572" w:rsidRDefault="00EA6572" w:rsidP="00EA6572">
            <w:pPr>
              <w:rPr>
                <w:sz w:val="20"/>
                <w:szCs w:val="20"/>
              </w:rPr>
            </w:pPr>
            <w:r w:rsidRPr="00EA6572">
              <w:rPr>
                <w:sz w:val="20"/>
                <w:szCs w:val="20"/>
              </w:rPr>
              <w:t xml:space="preserve">Son realizadas con una serie de actividades vinculadas, ligadas a una historia o situación cultural en particular. Se hace uso del dialogo y se establece o se continua, según las relaciones sociales y comunicativas. </w:t>
            </w:r>
          </w:p>
          <w:p w:rsidR="00EA6572" w:rsidRDefault="00EA6572" w:rsidP="00EA6572"/>
        </w:tc>
        <w:tc>
          <w:tcPr>
            <w:tcW w:w="3543" w:type="dxa"/>
            <w:vMerge w:val="restart"/>
          </w:tcPr>
          <w:p w:rsidR="00EA6572" w:rsidRDefault="00EA6572" w:rsidP="00EA6572">
            <w:pPr>
              <w:rPr>
                <w:sz w:val="20"/>
                <w:szCs w:val="20"/>
              </w:rPr>
            </w:pPr>
            <w:r w:rsidRPr="00EA6572">
              <w:rPr>
                <w:sz w:val="20"/>
                <w:szCs w:val="20"/>
              </w:rPr>
              <w:t>-Van dirigidos a las practicas sociales del lenguaje.</w:t>
            </w:r>
          </w:p>
          <w:p w:rsidR="00EA6572" w:rsidRPr="00EA6572" w:rsidRDefault="00EA6572" w:rsidP="00EA6572">
            <w:pPr>
              <w:rPr>
                <w:sz w:val="20"/>
                <w:szCs w:val="20"/>
              </w:rPr>
            </w:pPr>
          </w:p>
          <w:p w:rsidR="00EA6572" w:rsidRPr="00EA6572" w:rsidRDefault="00EA6572" w:rsidP="00EA6572">
            <w:pPr>
              <w:rPr>
                <w:sz w:val="20"/>
                <w:szCs w:val="20"/>
              </w:rPr>
            </w:pPr>
            <w:r w:rsidRPr="00EA6572">
              <w:rPr>
                <w:sz w:val="20"/>
                <w:szCs w:val="20"/>
              </w:rPr>
              <w:t>-Tienen una finalidad, propósito y proceso para esto:</w:t>
            </w:r>
          </w:p>
          <w:p w:rsidR="00EA6572" w:rsidRDefault="00EA6572" w:rsidP="00EA6572">
            <w:pPr>
              <w:rPr>
                <w:sz w:val="20"/>
                <w:szCs w:val="20"/>
              </w:rPr>
            </w:pPr>
            <w:r w:rsidRPr="00EA6572">
              <w:rPr>
                <w:sz w:val="20"/>
                <w:szCs w:val="20"/>
              </w:rPr>
              <w:t>La finalidad es que las persona puedan interpretar el lenguaje y puedan comunicarse con claridad, fluidez y adecuadamente.</w:t>
            </w:r>
            <w:r>
              <w:rPr>
                <w:sz w:val="20"/>
                <w:szCs w:val="20"/>
              </w:rPr>
              <w:t xml:space="preserve"> </w:t>
            </w:r>
            <w:r w:rsidRPr="00EA6572">
              <w:rPr>
                <w:sz w:val="20"/>
                <w:szCs w:val="20"/>
              </w:rPr>
              <w:t>El propósito es que le invertían interés para que puedan defender sus opiniones y creencia de una manera razonada, al igual que aceptar sugerencias y opiniones con argumentos. Y el proceso es con el cual llegaran a esa práctica social (oral, escrito o mixto).</w:t>
            </w:r>
          </w:p>
          <w:p w:rsidR="00EA6572" w:rsidRPr="00EA6572" w:rsidRDefault="00EA6572" w:rsidP="00EA6572">
            <w:pPr>
              <w:rPr>
                <w:sz w:val="20"/>
                <w:szCs w:val="20"/>
              </w:rPr>
            </w:pPr>
          </w:p>
          <w:p w:rsidR="00EA6572" w:rsidRPr="00EA6572" w:rsidRDefault="00EA6572" w:rsidP="00EA6572">
            <w:pPr>
              <w:rPr>
                <w:sz w:val="20"/>
                <w:szCs w:val="20"/>
              </w:rPr>
            </w:pPr>
            <w:r w:rsidRPr="00EA6572">
              <w:rPr>
                <w:sz w:val="20"/>
                <w:szCs w:val="20"/>
              </w:rPr>
              <w:t>-Es el ampliar sus conocimientos de comunicación de diversas culturas, al igual que realizar un sentido de reflexión sobre referencias.</w:t>
            </w:r>
          </w:p>
          <w:p w:rsidR="00EA6572" w:rsidRPr="00EA6572" w:rsidRDefault="00EA6572" w:rsidP="00EA6572">
            <w:pPr>
              <w:rPr>
                <w:sz w:val="20"/>
                <w:szCs w:val="20"/>
              </w:rPr>
            </w:pPr>
          </w:p>
        </w:tc>
        <w:tc>
          <w:tcPr>
            <w:tcW w:w="2977" w:type="dxa"/>
            <w:vMerge w:val="restart"/>
          </w:tcPr>
          <w:p w:rsidR="00EA6572" w:rsidRDefault="00EA6572" w:rsidP="00EA6572">
            <w:r>
              <w:t>-</w:t>
            </w:r>
            <w:r w:rsidRPr="00EA6572">
              <w:t>Las practicas sociales son guiadas por diversos lenguajes, no solo el español.</w:t>
            </w:r>
          </w:p>
          <w:p w:rsidR="00EA6572" w:rsidRPr="00EA6572" w:rsidRDefault="00EA6572" w:rsidP="00EA6572"/>
          <w:p w:rsidR="00EA6572" w:rsidRDefault="00EA6572" w:rsidP="00EA6572">
            <w:r>
              <w:t>-</w:t>
            </w:r>
            <w:r w:rsidRPr="00EA6572">
              <w:t>Las actividades o secuencias que se realicen para poder hacer una práctica social dependen del contexto en el que se otorga.</w:t>
            </w:r>
          </w:p>
          <w:p w:rsidR="00EA6572" w:rsidRPr="00EA6572" w:rsidRDefault="00EA6572" w:rsidP="00EA6572"/>
          <w:p w:rsidR="00EA6572" w:rsidRPr="00EA6572" w:rsidRDefault="00EA6572" w:rsidP="00EA6572">
            <w:r>
              <w:t>-</w:t>
            </w:r>
            <w:r w:rsidRPr="00EA6572">
              <w:t>Los textos son diferentes; el primero es para español como segunda lengua, el segundo es para la enseñanza del idioma francés.</w:t>
            </w:r>
          </w:p>
          <w:p w:rsidR="00EA6572" w:rsidRDefault="00EA6572" w:rsidP="00EA6572"/>
        </w:tc>
      </w:tr>
      <w:tr w:rsidR="00EA6572" w:rsidTr="00EA6572">
        <w:trPr>
          <w:trHeight w:val="361"/>
        </w:trPr>
        <w:tc>
          <w:tcPr>
            <w:tcW w:w="1555" w:type="dxa"/>
          </w:tcPr>
          <w:p w:rsidR="00EA6572" w:rsidRPr="0024646B" w:rsidRDefault="0024646B" w:rsidP="0024646B">
            <w:pPr>
              <w:jc w:val="center"/>
              <w:rPr>
                <w:b/>
                <w:bCs/>
              </w:rPr>
            </w:pPr>
            <w:proofErr w:type="spellStart"/>
            <w:r>
              <w:rPr>
                <w:b/>
                <w:bCs/>
              </w:rPr>
              <w:t>Bautier</w:t>
            </w:r>
            <w:proofErr w:type="spellEnd"/>
            <w:r>
              <w:rPr>
                <w:b/>
                <w:bCs/>
              </w:rPr>
              <w:t xml:space="preserve"> y </w:t>
            </w:r>
            <w:proofErr w:type="spellStart"/>
            <w:r>
              <w:rPr>
                <w:b/>
                <w:bCs/>
              </w:rPr>
              <w:t>Bucheton</w:t>
            </w:r>
            <w:proofErr w:type="spellEnd"/>
          </w:p>
        </w:tc>
        <w:tc>
          <w:tcPr>
            <w:tcW w:w="2835" w:type="dxa"/>
          </w:tcPr>
          <w:p w:rsidR="0024646B" w:rsidRPr="0024646B" w:rsidRDefault="0024646B" w:rsidP="0024646B">
            <w:pPr>
              <w:rPr>
                <w:sz w:val="20"/>
                <w:szCs w:val="20"/>
                <w:lang w:val="es-ES"/>
              </w:rPr>
            </w:pPr>
            <w:r w:rsidRPr="0024646B">
              <w:rPr>
                <w:sz w:val="20"/>
                <w:szCs w:val="20"/>
                <w:lang w:val="es-ES"/>
              </w:rPr>
              <w:t xml:space="preserve">Es necesario situar algunas cuestiones concernientes a los contenidos y finalidades de la enseñanza de la lengua materna, sabiendo que lo que anima fundamentalmente es la cuestión de la democratización de la enseñanza y de los usos del lenguaje que permiten la apropiación de los saberes por parte de los alumnos.  </w:t>
            </w:r>
          </w:p>
          <w:p w:rsidR="0024646B" w:rsidRPr="0024646B" w:rsidRDefault="0024646B" w:rsidP="0024646B">
            <w:pPr>
              <w:rPr>
                <w:sz w:val="20"/>
                <w:szCs w:val="20"/>
                <w:lang w:val="es-ES"/>
              </w:rPr>
            </w:pPr>
            <w:r w:rsidRPr="0024646B">
              <w:rPr>
                <w:sz w:val="20"/>
                <w:szCs w:val="20"/>
                <w:lang w:val="es-ES"/>
              </w:rPr>
              <w:t xml:space="preserve">El objetivo educativo es democratizar la enseñanza y los usos del lenguaje para que </w:t>
            </w:r>
            <w:r w:rsidRPr="0024646B">
              <w:rPr>
                <w:sz w:val="20"/>
                <w:szCs w:val="20"/>
                <w:lang w:val="es-ES"/>
              </w:rPr>
              <w:lastRenderedPageBreak/>
              <w:t xml:space="preserve">todos logren apropiarse de los saberes. </w:t>
            </w:r>
          </w:p>
          <w:p w:rsidR="0024646B" w:rsidRPr="0024646B" w:rsidRDefault="0024646B" w:rsidP="0024646B">
            <w:pPr>
              <w:rPr>
                <w:sz w:val="20"/>
                <w:szCs w:val="20"/>
                <w:lang w:val="es-ES"/>
              </w:rPr>
            </w:pPr>
            <w:r w:rsidRPr="0024646B">
              <w:rPr>
                <w:sz w:val="20"/>
                <w:szCs w:val="20"/>
                <w:lang w:val="es-ES"/>
              </w:rPr>
              <w:t>Pensar la naturaleza social del lenguaje en forma sostenida y no sólo a veces. Intentar abordar las prácticas del lenguaje desde otras disciplinas.</w:t>
            </w:r>
          </w:p>
          <w:p w:rsidR="0024646B" w:rsidRPr="0024646B" w:rsidRDefault="0024646B" w:rsidP="0024646B">
            <w:pPr>
              <w:rPr>
                <w:sz w:val="20"/>
                <w:szCs w:val="20"/>
                <w:lang w:val="es-ES"/>
              </w:rPr>
            </w:pPr>
            <w:r w:rsidRPr="0024646B">
              <w:rPr>
                <w:sz w:val="20"/>
                <w:szCs w:val="20"/>
                <w:lang w:val="es-ES"/>
              </w:rPr>
              <w:t>Plantea que legitimar las prácticas de lenguaje como objeto de enseñanza es un modo de encarnar el proyecto de democratizar el acceso al conocimiento.</w:t>
            </w:r>
          </w:p>
          <w:p w:rsidR="00EA6572" w:rsidRPr="0024646B" w:rsidRDefault="00EA6572" w:rsidP="00EA6572">
            <w:pPr>
              <w:rPr>
                <w:sz w:val="20"/>
                <w:szCs w:val="20"/>
              </w:rPr>
            </w:pPr>
          </w:p>
        </w:tc>
        <w:tc>
          <w:tcPr>
            <w:tcW w:w="3402" w:type="dxa"/>
          </w:tcPr>
          <w:p w:rsidR="0024646B" w:rsidRPr="0024646B" w:rsidRDefault="0024646B" w:rsidP="0024646B">
            <w:pPr>
              <w:rPr>
                <w:sz w:val="20"/>
                <w:szCs w:val="20"/>
                <w:lang w:val="es-ES"/>
              </w:rPr>
            </w:pPr>
            <w:r w:rsidRPr="0024646B">
              <w:rPr>
                <w:sz w:val="20"/>
                <w:szCs w:val="20"/>
                <w:lang w:val="es-ES"/>
              </w:rPr>
              <w:lastRenderedPageBreak/>
              <w:t>La noción de las prácticas sociolingüísticas debe aportar un nuevo esclarecimiento a interrogantes, conflictos, etc.</w:t>
            </w:r>
          </w:p>
          <w:p w:rsidR="0024646B" w:rsidRPr="0024646B" w:rsidRDefault="0024646B" w:rsidP="0024646B">
            <w:pPr>
              <w:rPr>
                <w:sz w:val="20"/>
                <w:szCs w:val="20"/>
                <w:lang w:val="es-ES"/>
              </w:rPr>
            </w:pPr>
            <w:r w:rsidRPr="0024646B">
              <w:rPr>
                <w:sz w:val="20"/>
                <w:szCs w:val="20"/>
                <w:lang w:val="es-ES"/>
              </w:rPr>
              <w:t xml:space="preserve">·Puede también poner un poco de inteligibilidad a la gran diversidad, heterogeneidad de los fenómenos del lenguaje sean o no escolares. Su esclarecimiento posibilita objetivar y analizar el interés y los límites de las prácticas innovadoras. </w:t>
            </w:r>
          </w:p>
          <w:p w:rsidR="0024646B" w:rsidRPr="0024646B" w:rsidRDefault="0024646B" w:rsidP="0024646B">
            <w:pPr>
              <w:rPr>
                <w:sz w:val="20"/>
                <w:szCs w:val="20"/>
                <w:lang w:val="es-ES"/>
              </w:rPr>
            </w:pPr>
            <w:r w:rsidRPr="0024646B">
              <w:rPr>
                <w:sz w:val="20"/>
                <w:szCs w:val="20"/>
                <w:lang w:val="es-ES"/>
              </w:rPr>
              <w:t xml:space="preserve">·Trata de comprender cómo las practicas del medio social y familiar facilitarán o no la entrada del alumno </w:t>
            </w:r>
            <w:r w:rsidRPr="0024646B">
              <w:rPr>
                <w:sz w:val="20"/>
                <w:szCs w:val="20"/>
                <w:lang w:val="es-ES"/>
              </w:rPr>
              <w:lastRenderedPageBreak/>
              <w:t>en las prácticas escolarizadas, se instala una triple cuestión: el difícil pasaje desde el habitus del lenguaje familiar al escolar, el sentido mismo de la escuela de la escuela y el saber que estructuran esas prácticas del lenguaje familiares.</w:t>
            </w:r>
          </w:p>
          <w:p w:rsidR="0024646B" w:rsidRPr="0024646B" w:rsidRDefault="0024646B" w:rsidP="0024646B">
            <w:pPr>
              <w:rPr>
                <w:sz w:val="20"/>
                <w:szCs w:val="20"/>
                <w:lang w:val="es-ES"/>
              </w:rPr>
            </w:pPr>
            <w:r w:rsidRPr="0024646B">
              <w:rPr>
                <w:sz w:val="20"/>
                <w:szCs w:val="20"/>
                <w:lang w:val="es-ES"/>
              </w:rPr>
              <w:t xml:space="preserve">·Propone la democratización del saber: dar a todos el dominio de un amplio espectro de discursos sociales de modo que puedan desentrañar los usos lingüísticos cotidianos y volverse así actores de la propia vida. </w:t>
            </w:r>
          </w:p>
          <w:p w:rsidR="0024646B" w:rsidRPr="0024646B" w:rsidRDefault="0024646B" w:rsidP="0024646B">
            <w:pPr>
              <w:rPr>
                <w:sz w:val="20"/>
                <w:szCs w:val="20"/>
                <w:lang w:val="es-ES"/>
              </w:rPr>
            </w:pPr>
            <w:r w:rsidRPr="0024646B">
              <w:rPr>
                <w:sz w:val="20"/>
                <w:szCs w:val="20"/>
                <w:lang w:val="es-ES"/>
              </w:rPr>
              <w:t>·El gran reto es invertir las relaciones, ubicar las prácticas sociales del lenguaje como eje de la enseñanza y ubicar la reflexión sobre la lengua y los conocimientos normativos al servicio de una mejor producción e interpretación de textos orales y escritos.</w:t>
            </w:r>
          </w:p>
          <w:p w:rsidR="0024646B" w:rsidRPr="0024646B" w:rsidRDefault="0024646B" w:rsidP="0024646B">
            <w:pPr>
              <w:rPr>
                <w:sz w:val="20"/>
                <w:szCs w:val="20"/>
                <w:lang w:val="es-ES"/>
              </w:rPr>
            </w:pPr>
            <w:r w:rsidRPr="0024646B">
              <w:rPr>
                <w:sz w:val="20"/>
                <w:szCs w:val="20"/>
                <w:lang w:val="es-ES"/>
              </w:rPr>
              <w:t>·Formar una escuela en una verdadera comunidad de lectores y escritores que accedan, produzcan, compartan e interpreten una diversidad de textos, con fines específicos y con interlocutores.</w:t>
            </w:r>
          </w:p>
          <w:p w:rsidR="0024646B" w:rsidRPr="0024646B" w:rsidRDefault="0024646B" w:rsidP="0024646B">
            <w:pPr>
              <w:rPr>
                <w:sz w:val="20"/>
                <w:szCs w:val="20"/>
                <w:lang w:val="es-ES"/>
              </w:rPr>
            </w:pPr>
            <w:r w:rsidRPr="0024646B">
              <w:rPr>
                <w:sz w:val="20"/>
                <w:szCs w:val="20"/>
                <w:lang w:val="es-ES"/>
              </w:rPr>
              <w:t xml:space="preserve">·Al convertir las prácticas sociales de lenguaje en objetos de estudio, la escuela necesariamente transforma esas prácticas, esos saberes, en función de condiciones particulares de transmisión, dada la lógica de los procesos de enseñanza y aprendizaje y sus reglas de intercambio e interacción social. </w:t>
            </w:r>
          </w:p>
          <w:p w:rsidR="0024646B" w:rsidRPr="0024646B" w:rsidRDefault="0024646B" w:rsidP="0024646B">
            <w:pPr>
              <w:rPr>
                <w:sz w:val="20"/>
                <w:szCs w:val="20"/>
                <w:lang w:val="es-ES"/>
              </w:rPr>
            </w:pPr>
            <w:r w:rsidRPr="0024646B">
              <w:rPr>
                <w:sz w:val="20"/>
                <w:szCs w:val="20"/>
                <w:lang w:val="es-ES"/>
              </w:rPr>
              <w:lastRenderedPageBreak/>
              <w:t>·Alejarse de la educación tradicional que está basada en la lengua, el sistema de reglas gramaticales y lexicales, para ahora poner como eje de enseñanza en lenguaje que es la manera en que se utiliza la lengua para hacer cosas ya sea pensar, construir saberes y principalmente interactuar.</w:t>
            </w:r>
          </w:p>
          <w:p w:rsidR="0024646B" w:rsidRPr="0024646B" w:rsidRDefault="0024646B" w:rsidP="0024646B">
            <w:pPr>
              <w:rPr>
                <w:sz w:val="20"/>
                <w:szCs w:val="20"/>
                <w:lang w:val="es-ES"/>
              </w:rPr>
            </w:pPr>
            <w:r w:rsidRPr="0024646B">
              <w:rPr>
                <w:sz w:val="20"/>
                <w:szCs w:val="20"/>
                <w:lang w:val="es-ES"/>
              </w:rPr>
              <w:t xml:space="preserve">·Es importante abordar la enseñanza de la lectura, escritura y oralidad utilizando el lenguaje como herramienta social que le permite al alumno acceder, producir y compartir textos tanto orales como escritos, adquiriendo las competencias comunicativas para expresarse e interactuar con otras personas. </w:t>
            </w:r>
          </w:p>
          <w:p w:rsidR="0024646B" w:rsidRPr="0024646B" w:rsidRDefault="0024646B" w:rsidP="0024646B">
            <w:pPr>
              <w:rPr>
                <w:sz w:val="20"/>
                <w:szCs w:val="20"/>
                <w:lang w:val="es-ES"/>
              </w:rPr>
            </w:pPr>
            <w:r w:rsidRPr="0024646B">
              <w:rPr>
                <w:sz w:val="20"/>
                <w:szCs w:val="20"/>
                <w:lang w:val="es-ES"/>
              </w:rPr>
              <w:t xml:space="preserve">·En esta propuesta las reglas y las fórmulas no son la base de lo enseñado si no un soporte al servicio de la producción de enunciados compartidos socialmente. </w:t>
            </w:r>
          </w:p>
          <w:p w:rsidR="00EA6572" w:rsidRPr="0024646B" w:rsidRDefault="00EA6572" w:rsidP="00EA6572">
            <w:pPr>
              <w:rPr>
                <w:sz w:val="20"/>
                <w:szCs w:val="20"/>
              </w:rPr>
            </w:pPr>
          </w:p>
        </w:tc>
        <w:tc>
          <w:tcPr>
            <w:tcW w:w="3543" w:type="dxa"/>
            <w:vMerge/>
          </w:tcPr>
          <w:p w:rsidR="00EA6572" w:rsidRDefault="00EA6572" w:rsidP="00EA6572"/>
        </w:tc>
        <w:tc>
          <w:tcPr>
            <w:tcW w:w="2977" w:type="dxa"/>
            <w:vMerge/>
          </w:tcPr>
          <w:p w:rsidR="00EA6572" w:rsidRDefault="00EA6572" w:rsidP="00EA6572"/>
        </w:tc>
      </w:tr>
      <w:tr w:rsidR="00EA6572" w:rsidTr="00EA6572">
        <w:trPr>
          <w:trHeight w:val="341"/>
        </w:trPr>
        <w:tc>
          <w:tcPr>
            <w:tcW w:w="1555" w:type="dxa"/>
          </w:tcPr>
          <w:p w:rsidR="00EA6572" w:rsidRPr="00DD607A" w:rsidRDefault="00DD607A" w:rsidP="00DD607A">
            <w:pPr>
              <w:jc w:val="center"/>
              <w:rPr>
                <w:b/>
                <w:bCs/>
              </w:rPr>
            </w:pPr>
            <w:r>
              <w:rPr>
                <w:b/>
                <w:bCs/>
              </w:rPr>
              <w:lastRenderedPageBreak/>
              <w:t>Emilia Ferreiro</w:t>
            </w:r>
          </w:p>
        </w:tc>
        <w:tc>
          <w:tcPr>
            <w:tcW w:w="2835" w:type="dxa"/>
          </w:tcPr>
          <w:p w:rsidR="00DD607A" w:rsidRPr="00DD607A" w:rsidRDefault="00DD607A" w:rsidP="00DD607A">
            <w:pPr>
              <w:rPr>
                <w:sz w:val="20"/>
                <w:szCs w:val="20"/>
                <w:lang w:val="es-ES"/>
              </w:rPr>
            </w:pPr>
            <w:r w:rsidRPr="00DD607A">
              <w:rPr>
                <w:sz w:val="20"/>
                <w:szCs w:val="20"/>
                <w:lang w:val="es-ES"/>
              </w:rPr>
              <w:t>La lectura es una habilidad básica de comunicación para las personas. Esto no es una habilidad innata, sino que debemos aprenderla. Requiere el dominio y coordinación de una serie de procesos cognitivos.</w:t>
            </w:r>
          </w:p>
          <w:p w:rsidR="00DD607A" w:rsidRPr="00DD607A" w:rsidRDefault="00DD607A" w:rsidP="00DD607A">
            <w:pPr>
              <w:rPr>
                <w:sz w:val="20"/>
                <w:szCs w:val="20"/>
                <w:lang w:val="es-ES"/>
              </w:rPr>
            </w:pPr>
            <w:r w:rsidRPr="00DD607A">
              <w:rPr>
                <w:sz w:val="20"/>
                <w:szCs w:val="20"/>
                <w:lang w:val="es-ES"/>
              </w:rPr>
              <w:t xml:space="preserve">Leer y escribir supone un proceso de enseñanza/aprendizaje que podría ser divertido, como todos los procesos que los </w:t>
            </w:r>
            <w:r w:rsidRPr="00DD607A">
              <w:rPr>
                <w:sz w:val="20"/>
                <w:szCs w:val="20"/>
                <w:lang w:val="es-ES"/>
              </w:rPr>
              <w:lastRenderedPageBreak/>
              <w:t>niños deben ir experimentando. Ambas son habilidades del desarrollo del lenguaje, que se aprenden en un proceso integrado, como procesos dinámicos y constructivos.</w:t>
            </w:r>
          </w:p>
          <w:p w:rsidR="00EA6572" w:rsidRPr="00DD607A" w:rsidRDefault="00EA6572" w:rsidP="00EA6572">
            <w:pPr>
              <w:rPr>
                <w:sz w:val="20"/>
                <w:szCs w:val="20"/>
              </w:rPr>
            </w:pPr>
          </w:p>
        </w:tc>
        <w:tc>
          <w:tcPr>
            <w:tcW w:w="3402" w:type="dxa"/>
          </w:tcPr>
          <w:p w:rsidR="00DD607A" w:rsidRPr="00DD607A" w:rsidRDefault="00DD607A" w:rsidP="00DD607A">
            <w:pPr>
              <w:rPr>
                <w:sz w:val="20"/>
                <w:szCs w:val="20"/>
                <w:lang w:val="es-ES"/>
              </w:rPr>
            </w:pPr>
            <w:r w:rsidRPr="00DD607A">
              <w:rPr>
                <w:sz w:val="20"/>
                <w:szCs w:val="20"/>
                <w:lang w:val="es-ES"/>
              </w:rPr>
              <w:lastRenderedPageBreak/>
              <w:t xml:space="preserve">·Es un proceso integrado de construcción del lenguaje escrito. Leer y escribir se desarrollan paralelamente, debido a </w:t>
            </w:r>
            <w:proofErr w:type="gramStart"/>
            <w:r w:rsidRPr="00DD607A">
              <w:rPr>
                <w:sz w:val="20"/>
                <w:szCs w:val="20"/>
                <w:lang w:val="es-ES"/>
              </w:rPr>
              <w:t>que</w:t>
            </w:r>
            <w:proofErr w:type="gramEnd"/>
            <w:r w:rsidRPr="00DD607A">
              <w:rPr>
                <w:sz w:val="20"/>
                <w:szCs w:val="20"/>
                <w:lang w:val="es-ES"/>
              </w:rPr>
              <w:t xml:space="preserve"> para escribir, se necesita leer y releer continuamente.</w:t>
            </w:r>
          </w:p>
          <w:p w:rsidR="00DD607A" w:rsidRPr="00DD607A" w:rsidRDefault="00DD607A" w:rsidP="00DD607A">
            <w:pPr>
              <w:rPr>
                <w:sz w:val="20"/>
                <w:szCs w:val="20"/>
                <w:lang w:val="es-ES"/>
              </w:rPr>
            </w:pPr>
            <w:r w:rsidRPr="00DD607A">
              <w:rPr>
                <w:sz w:val="20"/>
                <w:szCs w:val="20"/>
                <w:lang w:val="es-ES"/>
              </w:rPr>
              <w:t>·Es importante destacar que la lectura ofrece menor dificultad cognitiva y motora que la escritura.</w:t>
            </w:r>
          </w:p>
          <w:p w:rsidR="00DD607A" w:rsidRPr="00DD607A" w:rsidRDefault="00DD607A" w:rsidP="00DD607A">
            <w:pPr>
              <w:rPr>
                <w:sz w:val="20"/>
                <w:szCs w:val="20"/>
                <w:lang w:val="es-ES"/>
              </w:rPr>
            </w:pPr>
            <w:r w:rsidRPr="00DD607A">
              <w:rPr>
                <w:sz w:val="20"/>
                <w:szCs w:val="20"/>
                <w:lang w:val="es-ES"/>
              </w:rPr>
              <w:t xml:space="preserve">·El método globalizado fonético no trabaja con letras ni sílabas aisladas. Se busca palabras que combinen las grafías que se van aprendiendo. </w:t>
            </w:r>
            <w:r w:rsidRPr="00DD607A">
              <w:rPr>
                <w:sz w:val="20"/>
                <w:szCs w:val="20"/>
                <w:lang w:val="es-ES"/>
              </w:rPr>
              <w:lastRenderedPageBreak/>
              <w:t>Aprenden el sonido de las letras (fonema) y no el nombre de ellas.</w:t>
            </w:r>
          </w:p>
          <w:p w:rsidR="00DD607A" w:rsidRPr="00DD607A" w:rsidRDefault="00DD607A" w:rsidP="00DD607A">
            <w:pPr>
              <w:rPr>
                <w:sz w:val="20"/>
                <w:szCs w:val="20"/>
                <w:lang w:val="es-ES"/>
              </w:rPr>
            </w:pPr>
            <w:r w:rsidRPr="00DD607A">
              <w:rPr>
                <w:sz w:val="20"/>
                <w:szCs w:val="20"/>
                <w:lang w:val="es-ES"/>
              </w:rPr>
              <w:t>·Este tipo de metodología ayuda a descubrir el sentido del lenguaje escrito, que no es sino la representación gráfica del lenguaje oral.</w:t>
            </w:r>
          </w:p>
          <w:p w:rsidR="00DD607A" w:rsidRPr="00DD607A" w:rsidRDefault="00DD607A" w:rsidP="00DD607A">
            <w:pPr>
              <w:rPr>
                <w:sz w:val="20"/>
                <w:szCs w:val="20"/>
                <w:lang w:val="es-ES"/>
              </w:rPr>
            </w:pPr>
            <w:r w:rsidRPr="00DD607A">
              <w:rPr>
                <w:sz w:val="20"/>
                <w:szCs w:val="20"/>
                <w:lang w:val="es-ES"/>
              </w:rPr>
              <w:t xml:space="preserve">·El niño asimila que escribir de alguna manera es dibujar con signos convencionales lo que se habla. </w:t>
            </w:r>
          </w:p>
          <w:p w:rsidR="00DD607A" w:rsidRPr="00DD607A" w:rsidRDefault="00DD607A" w:rsidP="00DD607A">
            <w:pPr>
              <w:rPr>
                <w:sz w:val="20"/>
                <w:szCs w:val="20"/>
                <w:lang w:val="es-ES"/>
              </w:rPr>
            </w:pPr>
            <w:r w:rsidRPr="00DD607A">
              <w:rPr>
                <w:sz w:val="20"/>
                <w:szCs w:val="20"/>
                <w:lang w:val="es-ES"/>
              </w:rPr>
              <w:t xml:space="preserve">·Se trabaja de manera personal porque se propone que cada sujeto logre su autonomía, tomando en cuenta sus características peculiares. </w:t>
            </w:r>
          </w:p>
          <w:p w:rsidR="00DD607A" w:rsidRPr="00DD607A" w:rsidRDefault="00DD607A" w:rsidP="00DD607A">
            <w:pPr>
              <w:rPr>
                <w:sz w:val="20"/>
                <w:szCs w:val="20"/>
                <w:lang w:val="es-ES"/>
              </w:rPr>
            </w:pPr>
            <w:r w:rsidRPr="00DD607A">
              <w:rPr>
                <w:sz w:val="20"/>
                <w:szCs w:val="20"/>
                <w:lang w:val="es-ES"/>
              </w:rPr>
              <w:t>·El niño empieza a descubrir y valorar la necesidad de usar más recursos para comunicarse por escrito.</w:t>
            </w:r>
          </w:p>
          <w:p w:rsidR="00DD607A" w:rsidRPr="00DD607A" w:rsidRDefault="00DD607A" w:rsidP="00DD607A">
            <w:pPr>
              <w:rPr>
                <w:sz w:val="20"/>
                <w:szCs w:val="20"/>
                <w:lang w:val="es-ES"/>
              </w:rPr>
            </w:pPr>
            <w:r w:rsidRPr="00DD607A">
              <w:rPr>
                <w:sz w:val="20"/>
                <w:szCs w:val="20"/>
                <w:lang w:val="es-ES"/>
              </w:rPr>
              <w:t>·Siempre se debe mantener al niño motivado para el proceso.</w:t>
            </w:r>
          </w:p>
          <w:p w:rsidR="00DD607A" w:rsidRPr="00DD607A" w:rsidRDefault="00DD607A" w:rsidP="00DD607A">
            <w:pPr>
              <w:rPr>
                <w:sz w:val="20"/>
                <w:szCs w:val="20"/>
                <w:lang w:val="es-ES"/>
              </w:rPr>
            </w:pPr>
          </w:p>
          <w:p w:rsidR="00EA6572" w:rsidRPr="00DD607A" w:rsidRDefault="00EA6572" w:rsidP="00EA6572">
            <w:pPr>
              <w:rPr>
                <w:sz w:val="20"/>
                <w:szCs w:val="20"/>
              </w:rPr>
            </w:pPr>
          </w:p>
        </w:tc>
        <w:tc>
          <w:tcPr>
            <w:tcW w:w="3543" w:type="dxa"/>
            <w:vMerge/>
          </w:tcPr>
          <w:p w:rsidR="00EA6572" w:rsidRDefault="00EA6572" w:rsidP="00EA6572"/>
        </w:tc>
        <w:tc>
          <w:tcPr>
            <w:tcW w:w="2977" w:type="dxa"/>
            <w:vMerge/>
          </w:tcPr>
          <w:p w:rsidR="00EA6572" w:rsidRDefault="00EA6572" w:rsidP="00EA6572"/>
        </w:tc>
      </w:tr>
    </w:tbl>
    <w:p w:rsidR="00D32345" w:rsidRDefault="00D32345"/>
    <w:p w:rsidR="003806CE" w:rsidRDefault="00DD607A">
      <w:hyperlink r:id="rId9" w:history="1">
        <w:r w:rsidR="003806CE" w:rsidRPr="00A845DB">
          <w:rPr>
            <w:rStyle w:val="Hipervnculo"/>
          </w:rPr>
          <w:t>https://www.academia.edu/38966631/Practicas_sociales_del_lenguaje</w:t>
        </w:r>
      </w:hyperlink>
      <w:r w:rsidR="003806CE">
        <w:t xml:space="preserve"> </w:t>
      </w:r>
    </w:p>
    <w:sectPr w:rsidR="003806CE" w:rsidSect="00EA657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D607A">
      <w:pPr>
        <w:spacing w:after="0" w:line="240" w:lineRule="auto"/>
      </w:pPr>
      <w:r>
        <w:separator/>
      </w:r>
    </w:p>
  </w:endnote>
  <w:endnote w:type="continuationSeparator" w:id="0">
    <w:p w:rsidR="00000000" w:rsidRDefault="00DD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849716"/>
      <w:docPartObj>
        <w:docPartGallery w:val="Page Numbers (Bottom of Page)"/>
        <w:docPartUnique/>
      </w:docPartObj>
    </w:sdtPr>
    <w:sdtEndPr/>
    <w:sdtContent>
      <w:p w:rsidR="006A45A4" w:rsidRDefault="00EF7668">
        <w:pPr>
          <w:pStyle w:val="Piedepgina"/>
          <w:jc w:val="right"/>
        </w:pPr>
        <w:r>
          <w:fldChar w:fldCharType="begin"/>
        </w:r>
        <w:r>
          <w:instrText>PAGE   \* MERGEFORMAT</w:instrText>
        </w:r>
        <w:r>
          <w:fldChar w:fldCharType="separate"/>
        </w:r>
        <w:r>
          <w:rPr>
            <w:lang w:val="es-ES"/>
          </w:rPr>
          <w:t>2</w:t>
        </w:r>
        <w:r>
          <w:fldChar w:fldCharType="end"/>
        </w:r>
      </w:p>
    </w:sdtContent>
  </w:sdt>
  <w:p w:rsidR="006A45A4" w:rsidRDefault="00DD60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D607A">
      <w:pPr>
        <w:spacing w:after="0" w:line="240" w:lineRule="auto"/>
      </w:pPr>
      <w:r>
        <w:separator/>
      </w:r>
    </w:p>
  </w:footnote>
  <w:footnote w:type="continuationSeparator" w:id="0">
    <w:p w:rsidR="00000000" w:rsidRDefault="00DD6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82FB7"/>
    <w:multiLevelType w:val="hybridMultilevel"/>
    <w:tmpl w:val="942CD624"/>
    <w:lvl w:ilvl="0" w:tplc="DAD00AB0">
      <w:start w:val="1"/>
      <w:numFmt w:val="bullet"/>
      <w:lvlText w:val="o"/>
      <w:lvlJc w:val="left"/>
      <w:pPr>
        <w:tabs>
          <w:tab w:val="num" w:pos="720"/>
        </w:tabs>
        <w:ind w:left="720" w:hanging="360"/>
      </w:pPr>
      <w:rPr>
        <w:rFonts w:ascii="Courier New" w:hAnsi="Courier New" w:hint="default"/>
      </w:rPr>
    </w:lvl>
    <w:lvl w:ilvl="1" w:tplc="414C52CE" w:tentative="1">
      <w:start w:val="1"/>
      <w:numFmt w:val="bullet"/>
      <w:lvlText w:val="o"/>
      <w:lvlJc w:val="left"/>
      <w:pPr>
        <w:tabs>
          <w:tab w:val="num" w:pos="1440"/>
        </w:tabs>
        <w:ind w:left="1440" w:hanging="360"/>
      </w:pPr>
      <w:rPr>
        <w:rFonts w:ascii="Courier New" w:hAnsi="Courier New" w:hint="default"/>
      </w:rPr>
    </w:lvl>
    <w:lvl w:ilvl="2" w:tplc="12D4A322" w:tentative="1">
      <w:start w:val="1"/>
      <w:numFmt w:val="bullet"/>
      <w:lvlText w:val="o"/>
      <w:lvlJc w:val="left"/>
      <w:pPr>
        <w:tabs>
          <w:tab w:val="num" w:pos="2160"/>
        </w:tabs>
        <w:ind w:left="2160" w:hanging="360"/>
      </w:pPr>
      <w:rPr>
        <w:rFonts w:ascii="Courier New" w:hAnsi="Courier New" w:hint="default"/>
      </w:rPr>
    </w:lvl>
    <w:lvl w:ilvl="3" w:tplc="023E802C" w:tentative="1">
      <w:start w:val="1"/>
      <w:numFmt w:val="bullet"/>
      <w:lvlText w:val="o"/>
      <w:lvlJc w:val="left"/>
      <w:pPr>
        <w:tabs>
          <w:tab w:val="num" w:pos="2880"/>
        </w:tabs>
        <w:ind w:left="2880" w:hanging="360"/>
      </w:pPr>
      <w:rPr>
        <w:rFonts w:ascii="Courier New" w:hAnsi="Courier New" w:hint="default"/>
      </w:rPr>
    </w:lvl>
    <w:lvl w:ilvl="4" w:tplc="AC12A308" w:tentative="1">
      <w:start w:val="1"/>
      <w:numFmt w:val="bullet"/>
      <w:lvlText w:val="o"/>
      <w:lvlJc w:val="left"/>
      <w:pPr>
        <w:tabs>
          <w:tab w:val="num" w:pos="3600"/>
        </w:tabs>
        <w:ind w:left="3600" w:hanging="360"/>
      </w:pPr>
      <w:rPr>
        <w:rFonts w:ascii="Courier New" w:hAnsi="Courier New" w:hint="default"/>
      </w:rPr>
    </w:lvl>
    <w:lvl w:ilvl="5" w:tplc="DBE0B3DE" w:tentative="1">
      <w:start w:val="1"/>
      <w:numFmt w:val="bullet"/>
      <w:lvlText w:val="o"/>
      <w:lvlJc w:val="left"/>
      <w:pPr>
        <w:tabs>
          <w:tab w:val="num" w:pos="4320"/>
        </w:tabs>
        <w:ind w:left="4320" w:hanging="360"/>
      </w:pPr>
      <w:rPr>
        <w:rFonts w:ascii="Courier New" w:hAnsi="Courier New" w:hint="default"/>
      </w:rPr>
    </w:lvl>
    <w:lvl w:ilvl="6" w:tplc="FB523B4E" w:tentative="1">
      <w:start w:val="1"/>
      <w:numFmt w:val="bullet"/>
      <w:lvlText w:val="o"/>
      <w:lvlJc w:val="left"/>
      <w:pPr>
        <w:tabs>
          <w:tab w:val="num" w:pos="5040"/>
        </w:tabs>
        <w:ind w:left="5040" w:hanging="360"/>
      </w:pPr>
      <w:rPr>
        <w:rFonts w:ascii="Courier New" w:hAnsi="Courier New" w:hint="default"/>
      </w:rPr>
    </w:lvl>
    <w:lvl w:ilvl="7" w:tplc="67EE7294" w:tentative="1">
      <w:start w:val="1"/>
      <w:numFmt w:val="bullet"/>
      <w:lvlText w:val="o"/>
      <w:lvlJc w:val="left"/>
      <w:pPr>
        <w:tabs>
          <w:tab w:val="num" w:pos="5760"/>
        </w:tabs>
        <w:ind w:left="5760" w:hanging="360"/>
      </w:pPr>
      <w:rPr>
        <w:rFonts w:ascii="Courier New" w:hAnsi="Courier New" w:hint="default"/>
      </w:rPr>
    </w:lvl>
    <w:lvl w:ilvl="8" w:tplc="0B90015E"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55FC6C6E"/>
    <w:multiLevelType w:val="hybridMultilevel"/>
    <w:tmpl w:val="0AD257D6"/>
    <w:lvl w:ilvl="0" w:tplc="44FCFCC8">
      <w:start w:val="1"/>
      <w:numFmt w:val="bullet"/>
      <w:lvlText w:val="■"/>
      <w:lvlJc w:val="left"/>
      <w:pPr>
        <w:tabs>
          <w:tab w:val="num" w:pos="720"/>
        </w:tabs>
        <w:ind w:left="720" w:hanging="360"/>
      </w:pPr>
      <w:rPr>
        <w:rFonts w:ascii="Franklin Gothic Book" w:hAnsi="Franklin Gothic Book" w:hint="default"/>
      </w:rPr>
    </w:lvl>
    <w:lvl w:ilvl="1" w:tplc="07D2617C" w:tentative="1">
      <w:start w:val="1"/>
      <w:numFmt w:val="bullet"/>
      <w:lvlText w:val="■"/>
      <w:lvlJc w:val="left"/>
      <w:pPr>
        <w:tabs>
          <w:tab w:val="num" w:pos="1440"/>
        </w:tabs>
        <w:ind w:left="1440" w:hanging="360"/>
      </w:pPr>
      <w:rPr>
        <w:rFonts w:ascii="Franklin Gothic Book" w:hAnsi="Franklin Gothic Book" w:hint="default"/>
      </w:rPr>
    </w:lvl>
    <w:lvl w:ilvl="2" w:tplc="711A4A9A" w:tentative="1">
      <w:start w:val="1"/>
      <w:numFmt w:val="bullet"/>
      <w:lvlText w:val="■"/>
      <w:lvlJc w:val="left"/>
      <w:pPr>
        <w:tabs>
          <w:tab w:val="num" w:pos="2160"/>
        </w:tabs>
        <w:ind w:left="2160" w:hanging="360"/>
      </w:pPr>
      <w:rPr>
        <w:rFonts w:ascii="Franklin Gothic Book" w:hAnsi="Franklin Gothic Book" w:hint="default"/>
      </w:rPr>
    </w:lvl>
    <w:lvl w:ilvl="3" w:tplc="4E9E8408" w:tentative="1">
      <w:start w:val="1"/>
      <w:numFmt w:val="bullet"/>
      <w:lvlText w:val="■"/>
      <w:lvlJc w:val="left"/>
      <w:pPr>
        <w:tabs>
          <w:tab w:val="num" w:pos="2880"/>
        </w:tabs>
        <w:ind w:left="2880" w:hanging="360"/>
      </w:pPr>
      <w:rPr>
        <w:rFonts w:ascii="Franklin Gothic Book" w:hAnsi="Franklin Gothic Book" w:hint="default"/>
      </w:rPr>
    </w:lvl>
    <w:lvl w:ilvl="4" w:tplc="98FEB94C" w:tentative="1">
      <w:start w:val="1"/>
      <w:numFmt w:val="bullet"/>
      <w:lvlText w:val="■"/>
      <w:lvlJc w:val="left"/>
      <w:pPr>
        <w:tabs>
          <w:tab w:val="num" w:pos="3600"/>
        </w:tabs>
        <w:ind w:left="3600" w:hanging="360"/>
      </w:pPr>
      <w:rPr>
        <w:rFonts w:ascii="Franklin Gothic Book" w:hAnsi="Franklin Gothic Book" w:hint="default"/>
      </w:rPr>
    </w:lvl>
    <w:lvl w:ilvl="5" w:tplc="2C54DFA4" w:tentative="1">
      <w:start w:val="1"/>
      <w:numFmt w:val="bullet"/>
      <w:lvlText w:val="■"/>
      <w:lvlJc w:val="left"/>
      <w:pPr>
        <w:tabs>
          <w:tab w:val="num" w:pos="4320"/>
        </w:tabs>
        <w:ind w:left="4320" w:hanging="360"/>
      </w:pPr>
      <w:rPr>
        <w:rFonts w:ascii="Franklin Gothic Book" w:hAnsi="Franklin Gothic Book" w:hint="default"/>
      </w:rPr>
    </w:lvl>
    <w:lvl w:ilvl="6" w:tplc="35A0AA48" w:tentative="1">
      <w:start w:val="1"/>
      <w:numFmt w:val="bullet"/>
      <w:lvlText w:val="■"/>
      <w:lvlJc w:val="left"/>
      <w:pPr>
        <w:tabs>
          <w:tab w:val="num" w:pos="5040"/>
        </w:tabs>
        <w:ind w:left="5040" w:hanging="360"/>
      </w:pPr>
      <w:rPr>
        <w:rFonts w:ascii="Franklin Gothic Book" w:hAnsi="Franklin Gothic Book" w:hint="default"/>
      </w:rPr>
    </w:lvl>
    <w:lvl w:ilvl="7" w:tplc="4198B1AE" w:tentative="1">
      <w:start w:val="1"/>
      <w:numFmt w:val="bullet"/>
      <w:lvlText w:val="■"/>
      <w:lvlJc w:val="left"/>
      <w:pPr>
        <w:tabs>
          <w:tab w:val="num" w:pos="5760"/>
        </w:tabs>
        <w:ind w:left="5760" w:hanging="360"/>
      </w:pPr>
      <w:rPr>
        <w:rFonts w:ascii="Franklin Gothic Book" w:hAnsi="Franklin Gothic Book" w:hint="default"/>
      </w:rPr>
    </w:lvl>
    <w:lvl w:ilvl="8" w:tplc="F37EAEB6"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601F527D"/>
    <w:multiLevelType w:val="hybridMultilevel"/>
    <w:tmpl w:val="9424CEDE"/>
    <w:lvl w:ilvl="0" w:tplc="A12A3F8E">
      <w:start w:val="1"/>
      <w:numFmt w:val="bullet"/>
      <w:lvlText w:val="■"/>
      <w:lvlJc w:val="left"/>
      <w:pPr>
        <w:tabs>
          <w:tab w:val="num" w:pos="720"/>
        </w:tabs>
        <w:ind w:left="720" w:hanging="360"/>
      </w:pPr>
      <w:rPr>
        <w:rFonts w:ascii="Franklin Gothic Book" w:hAnsi="Franklin Gothic Book" w:hint="default"/>
      </w:rPr>
    </w:lvl>
    <w:lvl w:ilvl="1" w:tplc="853CD070" w:tentative="1">
      <w:start w:val="1"/>
      <w:numFmt w:val="bullet"/>
      <w:lvlText w:val="■"/>
      <w:lvlJc w:val="left"/>
      <w:pPr>
        <w:tabs>
          <w:tab w:val="num" w:pos="1440"/>
        </w:tabs>
        <w:ind w:left="1440" w:hanging="360"/>
      </w:pPr>
      <w:rPr>
        <w:rFonts w:ascii="Franklin Gothic Book" w:hAnsi="Franklin Gothic Book" w:hint="default"/>
      </w:rPr>
    </w:lvl>
    <w:lvl w:ilvl="2" w:tplc="FE968288" w:tentative="1">
      <w:start w:val="1"/>
      <w:numFmt w:val="bullet"/>
      <w:lvlText w:val="■"/>
      <w:lvlJc w:val="left"/>
      <w:pPr>
        <w:tabs>
          <w:tab w:val="num" w:pos="2160"/>
        </w:tabs>
        <w:ind w:left="2160" w:hanging="360"/>
      </w:pPr>
      <w:rPr>
        <w:rFonts w:ascii="Franklin Gothic Book" w:hAnsi="Franklin Gothic Book" w:hint="default"/>
      </w:rPr>
    </w:lvl>
    <w:lvl w:ilvl="3" w:tplc="1C10172C" w:tentative="1">
      <w:start w:val="1"/>
      <w:numFmt w:val="bullet"/>
      <w:lvlText w:val="■"/>
      <w:lvlJc w:val="left"/>
      <w:pPr>
        <w:tabs>
          <w:tab w:val="num" w:pos="2880"/>
        </w:tabs>
        <w:ind w:left="2880" w:hanging="360"/>
      </w:pPr>
      <w:rPr>
        <w:rFonts w:ascii="Franklin Gothic Book" w:hAnsi="Franklin Gothic Book" w:hint="default"/>
      </w:rPr>
    </w:lvl>
    <w:lvl w:ilvl="4" w:tplc="5B74EAEC" w:tentative="1">
      <w:start w:val="1"/>
      <w:numFmt w:val="bullet"/>
      <w:lvlText w:val="■"/>
      <w:lvlJc w:val="left"/>
      <w:pPr>
        <w:tabs>
          <w:tab w:val="num" w:pos="3600"/>
        </w:tabs>
        <w:ind w:left="3600" w:hanging="360"/>
      </w:pPr>
      <w:rPr>
        <w:rFonts w:ascii="Franklin Gothic Book" w:hAnsi="Franklin Gothic Book" w:hint="default"/>
      </w:rPr>
    </w:lvl>
    <w:lvl w:ilvl="5" w:tplc="FD4851D8" w:tentative="1">
      <w:start w:val="1"/>
      <w:numFmt w:val="bullet"/>
      <w:lvlText w:val="■"/>
      <w:lvlJc w:val="left"/>
      <w:pPr>
        <w:tabs>
          <w:tab w:val="num" w:pos="4320"/>
        </w:tabs>
        <w:ind w:left="4320" w:hanging="360"/>
      </w:pPr>
      <w:rPr>
        <w:rFonts w:ascii="Franklin Gothic Book" w:hAnsi="Franklin Gothic Book" w:hint="default"/>
      </w:rPr>
    </w:lvl>
    <w:lvl w:ilvl="6" w:tplc="43441C9E" w:tentative="1">
      <w:start w:val="1"/>
      <w:numFmt w:val="bullet"/>
      <w:lvlText w:val="■"/>
      <w:lvlJc w:val="left"/>
      <w:pPr>
        <w:tabs>
          <w:tab w:val="num" w:pos="5040"/>
        </w:tabs>
        <w:ind w:left="5040" w:hanging="360"/>
      </w:pPr>
      <w:rPr>
        <w:rFonts w:ascii="Franklin Gothic Book" w:hAnsi="Franklin Gothic Book" w:hint="default"/>
      </w:rPr>
    </w:lvl>
    <w:lvl w:ilvl="7" w:tplc="62C23D8A" w:tentative="1">
      <w:start w:val="1"/>
      <w:numFmt w:val="bullet"/>
      <w:lvlText w:val="■"/>
      <w:lvlJc w:val="left"/>
      <w:pPr>
        <w:tabs>
          <w:tab w:val="num" w:pos="5760"/>
        </w:tabs>
        <w:ind w:left="5760" w:hanging="360"/>
      </w:pPr>
      <w:rPr>
        <w:rFonts w:ascii="Franklin Gothic Book" w:hAnsi="Franklin Gothic Book" w:hint="default"/>
      </w:rPr>
    </w:lvl>
    <w:lvl w:ilvl="8" w:tplc="51164AFE"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C6"/>
    <w:rsid w:val="0021487C"/>
    <w:rsid w:val="0024646B"/>
    <w:rsid w:val="003806CE"/>
    <w:rsid w:val="00512E6E"/>
    <w:rsid w:val="009A69C6"/>
    <w:rsid w:val="00D32345"/>
    <w:rsid w:val="00DD607A"/>
    <w:rsid w:val="00EA6572"/>
    <w:rsid w:val="00EF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22BD"/>
  <w15:chartTrackingRefBased/>
  <w15:docId w15:val="{23A514E1-2E66-4AC3-971C-9FF9317B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9C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A69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69C6"/>
    <w:rPr>
      <w:lang w:val="es-MX"/>
    </w:rPr>
  </w:style>
  <w:style w:type="table" w:styleId="Tablaconcuadrcula">
    <w:name w:val="Table Grid"/>
    <w:basedOn w:val="Tablanormal"/>
    <w:uiPriority w:val="39"/>
    <w:rsid w:val="009A6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06CE"/>
    <w:rPr>
      <w:color w:val="0563C1" w:themeColor="hyperlink"/>
      <w:u w:val="single"/>
    </w:rPr>
  </w:style>
  <w:style w:type="character" w:styleId="Mencinsinresolver">
    <w:name w:val="Unresolved Mention"/>
    <w:basedOn w:val="Fuentedeprrafopredeter"/>
    <w:uiPriority w:val="99"/>
    <w:semiHidden/>
    <w:unhideWhenUsed/>
    <w:rsid w:val="00380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94886">
      <w:bodyDiv w:val="1"/>
      <w:marLeft w:val="0"/>
      <w:marRight w:val="0"/>
      <w:marTop w:val="0"/>
      <w:marBottom w:val="0"/>
      <w:divBdr>
        <w:top w:val="none" w:sz="0" w:space="0" w:color="auto"/>
        <w:left w:val="none" w:sz="0" w:space="0" w:color="auto"/>
        <w:bottom w:val="none" w:sz="0" w:space="0" w:color="auto"/>
        <w:right w:val="none" w:sz="0" w:space="0" w:color="auto"/>
      </w:divBdr>
      <w:divsChild>
        <w:div w:id="1453743560">
          <w:marLeft w:val="605"/>
          <w:marRight w:val="0"/>
          <w:marTop w:val="200"/>
          <w:marBottom w:val="40"/>
          <w:divBdr>
            <w:top w:val="none" w:sz="0" w:space="0" w:color="auto"/>
            <w:left w:val="none" w:sz="0" w:space="0" w:color="auto"/>
            <w:bottom w:val="none" w:sz="0" w:space="0" w:color="auto"/>
            <w:right w:val="none" w:sz="0" w:space="0" w:color="auto"/>
          </w:divBdr>
        </w:div>
        <w:div w:id="1262641683">
          <w:marLeft w:val="605"/>
          <w:marRight w:val="0"/>
          <w:marTop w:val="200"/>
          <w:marBottom w:val="40"/>
          <w:divBdr>
            <w:top w:val="none" w:sz="0" w:space="0" w:color="auto"/>
            <w:left w:val="none" w:sz="0" w:space="0" w:color="auto"/>
            <w:bottom w:val="none" w:sz="0" w:space="0" w:color="auto"/>
            <w:right w:val="none" w:sz="0" w:space="0" w:color="auto"/>
          </w:divBdr>
        </w:div>
        <w:div w:id="1451703326">
          <w:marLeft w:val="605"/>
          <w:marRight w:val="0"/>
          <w:marTop w:val="200"/>
          <w:marBottom w:val="40"/>
          <w:divBdr>
            <w:top w:val="none" w:sz="0" w:space="0" w:color="auto"/>
            <w:left w:val="none" w:sz="0" w:space="0" w:color="auto"/>
            <w:bottom w:val="none" w:sz="0" w:space="0" w:color="auto"/>
            <w:right w:val="none" w:sz="0" w:space="0" w:color="auto"/>
          </w:divBdr>
        </w:div>
        <w:div w:id="279145429">
          <w:marLeft w:val="605"/>
          <w:marRight w:val="0"/>
          <w:marTop w:val="200"/>
          <w:marBottom w:val="40"/>
          <w:divBdr>
            <w:top w:val="none" w:sz="0" w:space="0" w:color="auto"/>
            <w:left w:val="none" w:sz="0" w:space="0" w:color="auto"/>
            <w:bottom w:val="none" w:sz="0" w:space="0" w:color="auto"/>
            <w:right w:val="none" w:sz="0" w:space="0" w:color="auto"/>
          </w:divBdr>
        </w:div>
        <w:div w:id="638847590">
          <w:marLeft w:val="605"/>
          <w:marRight w:val="0"/>
          <w:marTop w:val="200"/>
          <w:marBottom w:val="40"/>
          <w:divBdr>
            <w:top w:val="none" w:sz="0" w:space="0" w:color="auto"/>
            <w:left w:val="none" w:sz="0" w:space="0" w:color="auto"/>
            <w:bottom w:val="none" w:sz="0" w:space="0" w:color="auto"/>
            <w:right w:val="none" w:sz="0" w:space="0" w:color="auto"/>
          </w:divBdr>
        </w:div>
        <w:div w:id="2043940212">
          <w:marLeft w:val="605"/>
          <w:marRight w:val="0"/>
          <w:marTop w:val="200"/>
          <w:marBottom w:val="40"/>
          <w:divBdr>
            <w:top w:val="none" w:sz="0" w:space="0" w:color="auto"/>
            <w:left w:val="none" w:sz="0" w:space="0" w:color="auto"/>
            <w:bottom w:val="none" w:sz="0" w:space="0" w:color="auto"/>
            <w:right w:val="none" w:sz="0" w:space="0" w:color="auto"/>
          </w:divBdr>
        </w:div>
      </w:divsChild>
    </w:div>
    <w:div w:id="797068779">
      <w:bodyDiv w:val="1"/>
      <w:marLeft w:val="0"/>
      <w:marRight w:val="0"/>
      <w:marTop w:val="0"/>
      <w:marBottom w:val="0"/>
      <w:divBdr>
        <w:top w:val="none" w:sz="0" w:space="0" w:color="auto"/>
        <w:left w:val="none" w:sz="0" w:space="0" w:color="auto"/>
        <w:bottom w:val="none" w:sz="0" w:space="0" w:color="auto"/>
        <w:right w:val="none" w:sz="0" w:space="0" w:color="auto"/>
      </w:divBdr>
      <w:divsChild>
        <w:div w:id="1306155965">
          <w:marLeft w:val="605"/>
          <w:marRight w:val="0"/>
          <w:marTop w:val="200"/>
          <w:marBottom w:val="40"/>
          <w:divBdr>
            <w:top w:val="none" w:sz="0" w:space="0" w:color="auto"/>
            <w:left w:val="none" w:sz="0" w:space="0" w:color="auto"/>
            <w:bottom w:val="none" w:sz="0" w:space="0" w:color="auto"/>
            <w:right w:val="none" w:sz="0" w:space="0" w:color="auto"/>
          </w:divBdr>
        </w:div>
        <w:div w:id="1164662698">
          <w:marLeft w:val="605"/>
          <w:marRight w:val="0"/>
          <w:marTop w:val="200"/>
          <w:marBottom w:val="40"/>
          <w:divBdr>
            <w:top w:val="none" w:sz="0" w:space="0" w:color="auto"/>
            <w:left w:val="none" w:sz="0" w:space="0" w:color="auto"/>
            <w:bottom w:val="none" w:sz="0" w:space="0" w:color="auto"/>
            <w:right w:val="none" w:sz="0" w:space="0" w:color="auto"/>
          </w:divBdr>
        </w:div>
        <w:div w:id="125512671">
          <w:marLeft w:val="605"/>
          <w:marRight w:val="0"/>
          <w:marTop w:val="200"/>
          <w:marBottom w:val="40"/>
          <w:divBdr>
            <w:top w:val="none" w:sz="0" w:space="0" w:color="auto"/>
            <w:left w:val="none" w:sz="0" w:space="0" w:color="auto"/>
            <w:bottom w:val="none" w:sz="0" w:space="0" w:color="auto"/>
            <w:right w:val="none" w:sz="0" w:space="0" w:color="auto"/>
          </w:divBdr>
        </w:div>
        <w:div w:id="1618484611">
          <w:marLeft w:val="605"/>
          <w:marRight w:val="0"/>
          <w:marTop w:val="200"/>
          <w:marBottom w:val="40"/>
          <w:divBdr>
            <w:top w:val="none" w:sz="0" w:space="0" w:color="auto"/>
            <w:left w:val="none" w:sz="0" w:space="0" w:color="auto"/>
            <w:bottom w:val="none" w:sz="0" w:space="0" w:color="auto"/>
            <w:right w:val="none" w:sz="0" w:space="0" w:color="auto"/>
          </w:divBdr>
        </w:div>
      </w:divsChild>
    </w:div>
    <w:div w:id="846558117">
      <w:bodyDiv w:val="1"/>
      <w:marLeft w:val="0"/>
      <w:marRight w:val="0"/>
      <w:marTop w:val="0"/>
      <w:marBottom w:val="0"/>
      <w:divBdr>
        <w:top w:val="none" w:sz="0" w:space="0" w:color="auto"/>
        <w:left w:val="none" w:sz="0" w:space="0" w:color="auto"/>
        <w:bottom w:val="none" w:sz="0" w:space="0" w:color="auto"/>
        <w:right w:val="none" w:sz="0" w:space="0" w:color="auto"/>
      </w:divBdr>
    </w:div>
    <w:div w:id="1642419307">
      <w:bodyDiv w:val="1"/>
      <w:marLeft w:val="0"/>
      <w:marRight w:val="0"/>
      <w:marTop w:val="0"/>
      <w:marBottom w:val="0"/>
      <w:divBdr>
        <w:top w:val="none" w:sz="0" w:space="0" w:color="auto"/>
        <w:left w:val="none" w:sz="0" w:space="0" w:color="auto"/>
        <w:bottom w:val="none" w:sz="0" w:space="0" w:color="auto"/>
        <w:right w:val="none" w:sz="0" w:space="0" w:color="auto"/>
      </w:divBdr>
    </w:div>
    <w:div w:id="1697267830">
      <w:bodyDiv w:val="1"/>
      <w:marLeft w:val="0"/>
      <w:marRight w:val="0"/>
      <w:marTop w:val="0"/>
      <w:marBottom w:val="0"/>
      <w:divBdr>
        <w:top w:val="none" w:sz="0" w:space="0" w:color="auto"/>
        <w:left w:val="none" w:sz="0" w:space="0" w:color="auto"/>
        <w:bottom w:val="none" w:sz="0" w:space="0" w:color="auto"/>
        <w:right w:val="none" w:sz="0" w:space="0" w:color="auto"/>
      </w:divBdr>
    </w:div>
    <w:div w:id="201163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ademia.edu/38966631/Practicas_sociales_del_lenguaj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3301</TotalTime>
  <Pages>5</Pages>
  <Words>1180</Words>
  <Characters>6494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2021-03-15T01:43:00Z</dcterms:created>
  <dcterms:modified xsi:type="dcterms:W3CDTF">2021-03-17T22:02:00Z</dcterms:modified>
</cp:coreProperties>
</file>